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17FA" w14:textId="52DCCDBD" w:rsidR="00B066E0" w:rsidRDefault="00C13860" w:rsidP="003C1BE9">
      <w:r>
        <w:t xml:space="preserve"> </w:t>
      </w:r>
      <w:r w:rsidR="00FD0E29">
        <w:t xml:space="preserve"> </w:t>
      </w:r>
      <w:r w:rsidR="00D117AD">
        <w:t xml:space="preserve">                         </w:t>
      </w:r>
    </w:p>
    <w:p w14:paraId="17FDC11D" w14:textId="77777777" w:rsidR="00604D16" w:rsidRPr="003C1BE9" w:rsidRDefault="00604D16" w:rsidP="003C1BE9"/>
    <w:p w14:paraId="158C98DB" w14:textId="3094CF39" w:rsidR="00410B53" w:rsidRPr="003C1BE9" w:rsidRDefault="00410B53" w:rsidP="003C1BE9"/>
    <w:p w14:paraId="4DD0C487" w14:textId="77777777" w:rsidR="00410B53" w:rsidRPr="003C1BE9" w:rsidRDefault="00410B53" w:rsidP="003C1BE9"/>
    <w:p w14:paraId="5D104702" w14:textId="77777777" w:rsidR="00410B53" w:rsidRDefault="00410B53" w:rsidP="003C1BE9"/>
    <w:bookmarkStart w:id="0" w:name="_Toc387672725"/>
    <w:bookmarkStart w:id="1" w:name="_Toc389210504"/>
    <w:bookmarkStart w:id="2" w:name="_Toc392060746"/>
    <w:bookmarkStart w:id="3" w:name="_Toc483317856"/>
    <w:bookmarkStart w:id="4" w:name="_Toc483380393"/>
    <w:bookmarkStart w:id="5" w:name="_Toc483490938"/>
    <w:bookmarkStart w:id="6" w:name="_Toc513098762"/>
    <w:bookmarkStart w:id="7" w:name="_Toc44056403"/>
    <w:bookmarkStart w:id="8" w:name="_Toc103863172"/>
    <w:p w14:paraId="5480FB01" w14:textId="56C59C5C" w:rsidR="00410B53" w:rsidRPr="00CD4046" w:rsidRDefault="005C4865" w:rsidP="00CD4046">
      <w:pPr>
        <w:jc w:val="center"/>
        <w:rPr>
          <w:b/>
          <w:bCs/>
          <w:sz w:val="36"/>
          <w:szCs w:val="36"/>
        </w:rPr>
      </w:pPr>
      <w:sdt>
        <w:sdtPr>
          <w:rPr>
            <w:b/>
            <w:bCs/>
            <w:sz w:val="36"/>
            <w:szCs w:val="36"/>
          </w:rPr>
          <w:id w:val="-2006113910"/>
          <w:docPartObj>
            <w:docPartGallery w:val="Watermarks"/>
          </w:docPartObj>
        </w:sdtPr>
        <w:sdtEndPr/>
        <w:sdtContent/>
      </w:sdt>
      <w:r w:rsidR="00410B53" w:rsidRPr="00CD4046">
        <w:rPr>
          <w:b/>
          <w:bCs/>
          <w:sz w:val="36"/>
          <w:szCs w:val="36"/>
        </w:rPr>
        <w:t>DRINKING WATER</w:t>
      </w:r>
      <w:bookmarkStart w:id="9" w:name="_Toc387672726"/>
      <w:bookmarkEnd w:id="0"/>
      <w:r w:rsidR="007A2CEF" w:rsidRPr="00CD4046">
        <w:rPr>
          <w:b/>
          <w:bCs/>
          <w:sz w:val="36"/>
          <w:szCs w:val="36"/>
        </w:rPr>
        <w:t xml:space="preserve"> </w:t>
      </w:r>
      <w:r w:rsidR="00410B53" w:rsidRPr="00CD4046">
        <w:rPr>
          <w:b/>
          <w:bCs/>
          <w:sz w:val="36"/>
          <w:szCs w:val="36"/>
        </w:rPr>
        <w:t>STATE REVOLVING FUND</w:t>
      </w:r>
      <w:bookmarkEnd w:id="1"/>
      <w:bookmarkEnd w:id="2"/>
      <w:bookmarkEnd w:id="3"/>
      <w:bookmarkEnd w:id="4"/>
      <w:bookmarkEnd w:id="5"/>
      <w:bookmarkEnd w:id="6"/>
      <w:bookmarkEnd w:id="7"/>
      <w:bookmarkEnd w:id="8"/>
      <w:bookmarkEnd w:id="9"/>
    </w:p>
    <w:p w14:paraId="4E0A4E18" w14:textId="3EAE6468" w:rsidR="00551264" w:rsidRDefault="00551264" w:rsidP="00CD4046">
      <w:pPr>
        <w:jc w:val="center"/>
        <w:rPr>
          <w:b/>
          <w:bCs/>
          <w:sz w:val="36"/>
          <w:szCs w:val="36"/>
        </w:rPr>
      </w:pPr>
      <w:bookmarkStart w:id="10" w:name="_Toc387672727"/>
      <w:bookmarkStart w:id="11" w:name="_Toc389210505"/>
      <w:bookmarkStart w:id="12" w:name="_Toc392060747"/>
      <w:bookmarkStart w:id="13" w:name="_Toc483317857"/>
      <w:bookmarkStart w:id="14" w:name="_Toc483380394"/>
      <w:bookmarkStart w:id="15" w:name="_Toc483490939"/>
      <w:bookmarkStart w:id="16" w:name="_Toc513098763"/>
      <w:bookmarkStart w:id="17" w:name="_Toc44056404"/>
      <w:bookmarkStart w:id="18" w:name="_Toc103863173"/>
      <w:r>
        <w:rPr>
          <w:b/>
          <w:bCs/>
          <w:sz w:val="36"/>
          <w:szCs w:val="36"/>
        </w:rPr>
        <w:t>EMERGING CONTAMINANT</w:t>
      </w:r>
    </w:p>
    <w:p w14:paraId="732A490D" w14:textId="32464D25" w:rsidR="004D254A" w:rsidRPr="00CD4046" w:rsidRDefault="00410B53" w:rsidP="00CD4046">
      <w:pPr>
        <w:jc w:val="center"/>
        <w:rPr>
          <w:b/>
          <w:bCs/>
          <w:sz w:val="36"/>
          <w:szCs w:val="36"/>
        </w:rPr>
      </w:pPr>
      <w:r w:rsidRPr="00CD4046">
        <w:rPr>
          <w:b/>
          <w:bCs/>
          <w:sz w:val="36"/>
          <w:szCs w:val="36"/>
        </w:rPr>
        <w:t>Intended Use Plan</w:t>
      </w:r>
      <w:bookmarkEnd w:id="10"/>
      <w:bookmarkEnd w:id="11"/>
      <w:bookmarkEnd w:id="12"/>
      <w:bookmarkEnd w:id="13"/>
      <w:bookmarkEnd w:id="14"/>
      <w:bookmarkEnd w:id="15"/>
      <w:bookmarkEnd w:id="16"/>
      <w:bookmarkEnd w:id="17"/>
      <w:bookmarkEnd w:id="18"/>
    </w:p>
    <w:p w14:paraId="384162F2" w14:textId="77777777" w:rsidR="00410B53" w:rsidRPr="00CD4046" w:rsidRDefault="00410B53" w:rsidP="00CD4046">
      <w:pPr>
        <w:jc w:val="center"/>
        <w:rPr>
          <w:b/>
          <w:bCs/>
          <w:sz w:val="36"/>
          <w:szCs w:val="36"/>
        </w:rPr>
      </w:pPr>
      <w:bookmarkStart w:id="19" w:name="_Toc387672728"/>
      <w:bookmarkStart w:id="20" w:name="_Toc389210506"/>
      <w:bookmarkStart w:id="21" w:name="_Toc392060748"/>
      <w:bookmarkStart w:id="22" w:name="_Toc483317858"/>
      <w:bookmarkStart w:id="23" w:name="_Toc483380395"/>
      <w:bookmarkStart w:id="24" w:name="_Toc483490940"/>
      <w:bookmarkStart w:id="25" w:name="_Toc513098764"/>
      <w:bookmarkStart w:id="26" w:name="_Toc44056405"/>
      <w:bookmarkStart w:id="27" w:name="_Toc103863174"/>
      <w:r w:rsidRPr="00CD4046">
        <w:rPr>
          <w:b/>
          <w:bCs/>
          <w:sz w:val="36"/>
          <w:szCs w:val="36"/>
        </w:rPr>
        <w:t>and</w:t>
      </w:r>
      <w:r w:rsidR="004D254A" w:rsidRPr="00CD4046">
        <w:rPr>
          <w:b/>
          <w:bCs/>
          <w:sz w:val="36"/>
          <w:szCs w:val="36"/>
        </w:rPr>
        <w:t xml:space="preserve"> </w:t>
      </w:r>
      <w:r w:rsidRPr="00CD4046">
        <w:rPr>
          <w:b/>
          <w:bCs/>
          <w:sz w:val="36"/>
          <w:szCs w:val="36"/>
        </w:rPr>
        <w:t>Project Priority List</w:t>
      </w:r>
      <w:bookmarkEnd w:id="19"/>
      <w:bookmarkEnd w:id="20"/>
      <w:bookmarkEnd w:id="21"/>
      <w:bookmarkEnd w:id="22"/>
      <w:bookmarkEnd w:id="23"/>
      <w:bookmarkEnd w:id="24"/>
      <w:bookmarkEnd w:id="25"/>
      <w:bookmarkEnd w:id="26"/>
      <w:bookmarkEnd w:id="27"/>
    </w:p>
    <w:p w14:paraId="3F7DB50E" w14:textId="77777777" w:rsidR="00410B53" w:rsidRPr="00CD4046" w:rsidRDefault="00410B53" w:rsidP="00CD4046">
      <w:pPr>
        <w:jc w:val="center"/>
        <w:rPr>
          <w:b/>
          <w:bCs/>
          <w:sz w:val="36"/>
          <w:szCs w:val="36"/>
        </w:rPr>
      </w:pPr>
    </w:p>
    <w:p w14:paraId="0CE7B0FC" w14:textId="09AD93DE" w:rsidR="00504F4D" w:rsidRPr="00CD4046" w:rsidRDefault="00410B53" w:rsidP="00CD4046">
      <w:pPr>
        <w:jc w:val="center"/>
        <w:rPr>
          <w:b/>
          <w:bCs/>
          <w:sz w:val="36"/>
          <w:szCs w:val="36"/>
        </w:rPr>
      </w:pPr>
      <w:bookmarkStart w:id="28" w:name="_Toc387672729"/>
      <w:bookmarkStart w:id="29" w:name="_Toc389210507"/>
      <w:bookmarkStart w:id="30" w:name="_Toc392060749"/>
      <w:bookmarkStart w:id="31" w:name="_Toc483317859"/>
      <w:bookmarkStart w:id="32" w:name="_Toc483380396"/>
      <w:bookmarkStart w:id="33" w:name="_Toc483490941"/>
      <w:bookmarkStart w:id="34" w:name="_Toc513098765"/>
      <w:bookmarkStart w:id="35" w:name="_Toc44056406"/>
      <w:bookmarkStart w:id="36" w:name="_Toc103863175"/>
      <w:r w:rsidRPr="00CD4046">
        <w:rPr>
          <w:b/>
          <w:bCs/>
          <w:sz w:val="36"/>
          <w:szCs w:val="36"/>
        </w:rPr>
        <w:t>S</w:t>
      </w:r>
      <w:r w:rsidR="00725B8A" w:rsidRPr="00CD4046">
        <w:rPr>
          <w:b/>
          <w:bCs/>
          <w:sz w:val="36"/>
          <w:szCs w:val="36"/>
        </w:rPr>
        <w:t>tate</w:t>
      </w:r>
      <w:r w:rsidRPr="00CD4046">
        <w:rPr>
          <w:b/>
          <w:bCs/>
          <w:sz w:val="36"/>
          <w:szCs w:val="36"/>
        </w:rPr>
        <w:t xml:space="preserve"> F</w:t>
      </w:r>
      <w:r w:rsidR="00725B8A" w:rsidRPr="00CD4046">
        <w:rPr>
          <w:b/>
          <w:bCs/>
          <w:sz w:val="36"/>
          <w:szCs w:val="36"/>
        </w:rPr>
        <w:t>iscal</w:t>
      </w:r>
      <w:r w:rsidRPr="00CD4046">
        <w:rPr>
          <w:b/>
          <w:bCs/>
          <w:sz w:val="36"/>
          <w:szCs w:val="36"/>
        </w:rPr>
        <w:t xml:space="preserve"> Y</w:t>
      </w:r>
      <w:r w:rsidR="00725B8A" w:rsidRPr="00CD4046">
        <w:rPr>
          <w:b/>
          <w:bCs/>
          <w:sz w:val="36"/>
          <w:szCs w:val="36"/>
        </w:rPr>
        <w:t>ear</w:t>
      </w:r>
      <w:r w:rsidRPr="00CD4046">
        <w:rPr>
          <w:b/>
          <w:bCs/>
          <w:sz w:val="36"/>
          <w:szCs w:val="36"/>
        </w:rPr>
        <w:t xml:space="preserve"> </w:t>
      </w:r>
      <w:bookmarkEnd w:id="28"/>
      <w:bookmarkEnd w:id="29"/>
      <w:bookmarkEnd w:id="30"/>
      <w:bookmarkEnd w:id="31"/>
      <w:bookmarkEnd w:id="32"/>
      <w:bookmarkEnd w:id="33"/>
      <w:bookmarkEnd w:id="34"/>
      <w:bookmarkEnd w:id="35"/>
      <w:bookmarkEnd w:id="36"/>
      <w:r w:rsidR="00F231DF">
        <w:rPr>
          <w:b/>
          <w:bCs/>
          <w:sz w:val="36"/>
          <w:szCs w:val="36"/>
        </w:rPr>
        <w:t>2027</w:t>
      </w:r>
    </w:p>
    <w:p w14:paraId="3218CB2F" w14:textId="28115EDA" w:rsidR="002D763C" w:rsidRDefault="0096015F" w:rsidP="0096015F">
      <w:pPr>
        <w:tabs>
          <w:tab w:val="left" w:pos="6912"/>
        </w:tabs>
      </w:pPr>
      <w:r>
        <w:tab/>
      </w:r>
    </w:p>
    <w:p w14:paraId="7CCEE2BB" w14:textId="7D68A8CA" w:rsidR="002D763C" w:rsidRPr="0018127C" w:rsidRDefault="00F231DF" w:rsidP="002D763C">
      <w:pPr>
        <w:jc w:val="center"/>
        <w:rPr>
          <w:b/>
          <w:bCs/>
          <w:sz w:val="36"/>
          <w:szCs w:val="36"/>
        </w:rPr>
      </w:pPr>
      <w:r>
        <w:rPr>
          <w:b/>
          <w:bCs/>
          <w:sz w:val="36"/>
          <w:szCs w:val="36"/>
        </w:rPr>
        <w:t>May 2</w:t>
      </w:r>
      <w:r w:rsidR="00821AF2">
        <w:rPr>
          <w:b/>
          <w:bCs/>
          <w:sz w:val="36"/>
          <w:szCs w:val="36"/>
        </w:rPr>
        <w:t>8</w:t>
      </w:r>
      <w:r>
        <w:rPr>
          <w:b/>
          <w:bCs/>
          <w:sz w:val="36"/>
          <w:szCs w:val="36"/>
        </w:rPr>
        <w:t>, 2026</w:t>
      </w:r>
    </w:p>
    <w:p w14:paraId="42014EEE" w14:textId="77777777" w:rsidR="00051B96" w:rsidRDefault="00051B96" w:rsidP="00BB465C">
      <w:bookmarkStart w:id="37" w:name="_Toc513098766"/>
      <w:bookmarkStart w:id="38" w:name="_Toc44056407"/>
      <w:bookmarkStart w:id="39" w:name="_Toc103863176"/>
    </w:p>
    <w:p w14:paraId="2F7D660D" w14:textId="7CF86CDE" w:rsidR="00410B53" w:rsidRDefault="004A6AFB" w:rsidP="00BB465C">
      <w:r>
        <w:rPr>
          <w:noProof/>
        </w:rPr>
        <mc:AlternateContent>
          <mc:Choice Requires="wps">
            <w:drawing>
              <wp:anchor distT="0" distB="0" distL="114300" distR="114300" simplePos="0" relativeHeight="251661312" behindDoc="0" locked="0" layoutInCell="1" allowOverlap="1" wp14:anchorId="4B5120E4" wp14:editId="31E3362A">
                <wp:simplePos x="0" y="0"/>
                <wp:positionH relativeFrom="column">
                  <wp:posOffset>2390774</wp:posOffset>
                </wp:positionH>
                <wp:positionV relativeFrom="paragraph">
                  <wp:posOffset>146050</wp:posOffset>
                </wp:positionV>
                <wp:extent cx="1152525" cy="0"/>
                <wp:effectExtent l="0" t="19050" r="28575"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25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71A25" id="Straight Connector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25pt,11.5pt" to="27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" strokecolor="black [3213]" strokeweight="2.25pt"/>
            </w:pict>
          </mc:Fallback>
        </mc:AlternateContent>
      </w:r>
      <w:bookmarkEnd w:id="37"/>
      <w:bookmarkEnd w:id="38"/>
      <w:bookmarkEnd w:id="39"/>
    </w:p>
    <w:p w14:paraId="6F3F8ACE" w14:textId="56FAFBCC" w:rsidR="004A6AFB" w:rsidRPr="004A6AFB" w:rsidRDefault="004A6AFB" w:rsidP="002D763C">
      <w:pPr>
        <w:rPr>
          <w:b/>
          <w:bCs/>
          <w:sz w:val="36"/>
          <w:szCs w:val="36"/>
        </w:rPr>
      </w:pPr>
    </w:p>
    <w:p w14:paraId="77BDE4CC" w14:textId="0BE17FD1" w:rsidR="00410B53" w:rsidRPr="002A1FDB" w:rsidRDefault="00410B53" w:rsidP="002A1FDB">
      <w:pPr>
        <w:jc w:val="center"/>
      </w:pPr>
      <w:r w:rsidRPr="002A1FDB">
        <w:t>MONTANA DEPARTMENT OF ENVIRONMENTAL QUALITY</w:t>
      </w:r>
    </w:p>
    <w:p w14:paraId="4AFF57C6" w14:textId="221B2D4E" w:rsidR="00410B53" w:rsidRPr="002A1FDB" w:rsidRDefault="00AA7469" w:rsidP="002A1FDB">
      <w:pPr>
        <w:jc w:val="center"/>
      </w:pPr>
      <w:r>
        <w:t>Water Quality</w:t>
      </w:r>
      <w:r w:rsidR="00410B53" w:rsidRPr="002A1FDB">
        <w:t xml:space="preserve"> Division</w:t>
      </w:r>
    </w:p>
    <w:p w14:paraId="40D735E6" w14:textId="51024B91" w:rsidR="00410B53" w:rsidRPr="002A1FDB" w:rsidRDefault="00410B53" w:rsidP="002A1FDB">
      <w:pPr>
        <w:jc w:val="center"/>
      </w:pPr>
      <w:r w:rsidRPr="002A1FDB">
        <w:t>Drinking Water State Revolving Fund</w:t>
      </w:r>
    </w:p>
    <w:p w14:paraId="1B3B92C5" w14:textId="42118088" w:rsidR="00410B53" w:rsidRPr="002A1FDB" w:rsidRDefault="00410B53" w:rsidP="002A1FDB">
      <w:pPr>
        <w:jc w:val="center"/>
      </w:pPr>
      <w:r w:rsidRPr="002A1FDB">
        <w:t>1520 East Sixth Avenue</w:t>
      </w:r>
    </w:p>
    <w:p w14:paraId="577A5DB7" w14:textId="77777777" w:rsidR="00410B53" w:rsidRPr="002A1FDB" w:rsidRDefault="00410B53" w:rsidP="002A1FDB">
      <w:pPr>
        <w:jc w:val="center"/>
      </w:pPr>
      <w:r w:rsidRPr="002A1FDB">
        <w:t>P.O. Box 200901</w:t>
      </w:r>
    </w:p>
    <w:p w14:paraId="0C6A20A2" w14:textId="77777777" w:rsidR="00410B53" w:rsidRPr="002A1FDB" w:rsidRDefault="00410B53" w:rsidP="002A1FDB">
      <w:pPr>
        <w:jc w:val="center"/>
      </w:pPr>
      <w:r w:rsidRPr="002A1FDB">
        <w:t>Helena, MT</w:t>
      </w:r>
      <w:r w:rsidR="00B41BF0">
        <w:t xml:space="preserve"> </w:t>
      </w:r>
      <w:r w:rsidRPr="002A1FDB">
        <w:t>59620-0901</w:t>
      </w:r>
    </w:p>
    <w:p w14:paraId="5E729096" w14:textId="77777777" w:rsidR="00410B53" w:rsidRPr="002A1FDB" w:rsidRDefault="00410B53" w:rsidP="002A1FDB">
      <w:pPr>
        <w:jc w:val="center"/>
      </w:pPr>
      <w:r w:rsidRPr="002A1FDB">
        <w:t>Phone: 406.444.6697</w:t>
      </w:r>
    </w:p>
    <w:p w14:paraId="6C21AAFF" w14:textId="77777777" w:rsidR="00410B53" w:rsidRPr="002A1FDB" w:rsidRDefault="00410B53" w:rsidP="002A1FDB">
      <w:pPr>
        <w:jc w:val="center"/>
      </w:pPr>
      <w:r w:rsidRPr="002A1FDB">
        <w:t>Fax: 406.444.6836</w:t>
      </w:r>
    </w:p>
    <w:p w14:paraId="62A9F70A" w14:textId="77777777" w:rsidR="00410B53" w:rsidRPr="00A7753B" w:rsidRDefault="005C4865" w:rsidP="002A1FDB">
      <w:pPr>
        <w:jc w:val="center"/>
      </w:pPr>
      <w:hyperlink r:id="rId8" w:history="1">
        <w:r w:rsidR="00410B53" w:rsidRPr="00A7753B">
          <w:rPr>
            <w:rStyle w:val="Hyperlink"/>
            <w:color w:val="auto"/>
            <w:u w:val="none"/>
          </w:rPr>
          <w:t>www.deq.mt.gov</w:t>
        </w:r>
      </w:hyperlink>
    </w:p>
    <w:p w14:paraId="2D7724F5" w14:textId="77777777" w:rsidR="00410B53" w:rsidRPr="002A1FDB" w:rsidRDefault="00410B53" w:rsidP="002A1FDB"/>
    <w:p w14:paraId="4ED19B2D" w14:textId="77777777" w:rsidR="00410B53" w:rsidRPr="002A1FDB" w:rsidRDefault="00410B53" w:rsidP="002A1FDB"/>
    <w:p w14:paraId="5A3AF4D3" w14:textId="77777777" w:rsidR="00410B53" w:rsidRPr="002A1FDB" w:rsidRDefault="00410B53" w:rsidP="003B170B">
      <w:pPr>
        <w:jc w:val="center"/>
      </w:pPr>
    </w:p>
    <w:p w14:paraId="22CF1693" w14:textId="7BE0754D" w:rsidR="00410B53" w:rsidRPr="002A1FDB" w:rsidRDefault="00CD2D1A" w:rsidP="003B170B">
      <w:pPr>
        <w:jc w:val="center"/>
      </w:pPr>
      <w:r>
        <w:rPr>
          <w:noProof/>
        </w:rPr>
        <w:drawing>
          <wp:anchor distT="0" distB="0" distL="114300" distR="114300" simplePos="0" relativeHeight="251663360" behindDoc="0" locked="0" layoutInCell="1" allowOverlap="1" wp14:anchorId="3DC6A700" wp14:editId="74A1C066">
            <wp:simplePos x="0" y="0"/>
            <wp:positionH relativeFrom="column">
              <wp:posOffset>4469587</wp:posOffset>
            </wp:positionH>
            <wp:positionV relativeFrom="paragraph">
              <wp:posOffset>172161</wp:posOffset>
            </wp:positionV>
            <wp:extent cx="923925" cy="923925"/>
            <wp:effectExtent l="0" t="0" r="9525" b="9525"/>
            <wp:wrapSquare wrapText="bothSides"/>
            <wp:docPr id="4062735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3578" name="Picture 1">
                      <a:extLst>
                        <a:ext uri="{C183D7F6-B498-43B3-948B-1728B52AA6E4}">
                          <adec:decorative xmlns:adec="http://schemas.microsoft.com/office/drawing/2017/decorative" val="1"/>
                        </a:ext>
                      </a:extLst>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anchor>
        </w:drawing>
      </w:r>
    </w:p>
    <w:p w14:paraId="7DA1C9A9" w14:textId="0C6337E9" w:rsidR="00410B53" w:rsidRPr="002A1FDB" w:rsidRDefault="00410B53" w:rsidP="003B170B">
      <w:pPr>
        <w:jc w:val="center"/>
      </w:pPr>
    </w:p>
    <w:p w14:paraId="42C24471" w14:textId="20CB4E6D" w:rsidR="00410B53" w:rsidRPr="00103C66" w:rsidRDefault="003B170B" w:rsidP="00B91EC3">
      <w:r>
        <w:tab/>
      </w:r>
      <w:r>
        <w:tab/>
      </w:r>
      <w:r w:rsidR="00CD2D1A">
        <w:rPr>
          <w:noProof/>
        </w:rPr>
        <w:drawing>
          <wp:inline distT="0" distB="0" distL="0" distR="0" wp14:anchorId="328C654B" wp14:editId="67C76BE7">
            <wp:extent cx="1494263" cy="703182"/>
            <wp:effectExtent l="0" t="0" r="0" b="1905"/>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Q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940" cy="705853"/>
                    </a:xfrm>
                    <a:prstGeom prst="rect">
                      <a:avLst/>
                    </a:prstGeom>
                    <a:noFill/>
                    <a:ln>
                      <a:noFill/>
                    </a:ln>
                  </pic:spPr>
                </pic:pic>
              </a:graphicData>
            </a:graphic>
          </wp:inline>
        </w:drawing>
      </w:r>
      <w:r>
        <w:tab/>
      </w:r>
    </w:p>
    <w:p w14:paraId="31C87A32" w14:textId="77777777" w:rsidR="00410B53" w:rsidRPr="002A1FDB" w:rsidRDefault="00410B53" w:rsidP="00504F4D"/>
    <w:p w14:paraId="73048D27" w14:textId="77777777" w:rsidR="00410B53" w:rsidRPr="002A1FDB" w:rsidRDefault="00410B53" w:rsidP="002A1FDB"/>
    <w:p w14:paraId="10A80BD4" w14:textId="77777777" w:rsidR="00410B53" w:rsidRPr="002A1FDB" w:rsidRDefault="00410B53" w:rsidP="002A1FDB">
      <w:pPr>
        <w:jc w:val="center"/>
        <w:rPr>
          <w:i/>
        </w:rPr>
      </w:pPr>
      <w:r w:rsidRPr="002A1FDB">
        <w:rPr>
          <w:i/>
        </w:rPr>
        <w:t>Printed on Recycled Paper</w:t>
      </w:r>
    </w:p>
    <w:p w14:paraId="19DA84D5" w14:textId="77777777" w:rsidR="00410B53" w:rsidRPr="000D5B09" w:rsidRDefault="00410B53" w:rsidP="000D5B09">
      <w:pPr>
        <w:sectPr w:rsidR="00410B53" w:rsidRPr="000D5B09" w:rsidSect="00036156">
          <w:headerReference w:type="default" r:id="rId12"/>
          <w:footerReference w:type="even" r:id="rId13"/>
          <w:footerReference w:type="default" r:id="rId14"/>
          <w:headerReference w:type="first" r:id="rId15"/>
          <w:pgSz w:w="12240" w:h="15840" w:code="1"/>
          <w:pgMar w:top="1440" w:right="1440" w:bottom="1440" w:left="1440" w:header="720" w:footer="720" w:gutter="0"/>
          <w:pgNumType w:start="1"/>
          <w:cols w:space="720"/>
          <w:titlePg/>
        </w:sectPr>
      </w:pPr>
    </w:p>
    <w:p w14:paraId="44E27A66" w14:textId="4070A813" w:rsidR="004C29A7" w:rsidRPr="004C29A7" w:rsidRDefault="003B1C9E" w:rsidP="00551264">
      <w:pPr>
        <w:jc w:val="center"/>
      </w:pPr>
      <w:r>
        <w:rPr>
          <w:noProof/>
        </w:rPr>
        <w:lastRenderedPageBreak/>
        <mc:AlternateContent>
          <mc:Choice Requires="wps">
            <w:drawing>
              <wp:anchor distT="0" distB="0" distL="114300" distR="114300" simplePos="0" relativeHeight="251659264" behindDoc="0" locked="0" layoutInCell="1" allowOverlap="1" wp14:anchorId="02BE1A82" wp14:editId="450E720E">
                <wp:simplePos x="0" y="0"/>
                <wp:positionH relativeFrom="margin">
                  <wp:align>center</wp:align>
                </wp:positionH>
                <wp:positionV relativeFrom="margin">
                  <wp:align>center</wp:align>
                </wp:positionV>
                <wp:extent cx="2438400" cy="273050"/>
                <wp:effectExtent l="0" t="0" r="0" b="0"/>
                <wp:wrapSquare wrapText="bothSides"/>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73050"/>
                        </a:xfrm>
                        <a:prstGeom prst="rect">
                          <a:avLst/>
                        </a:prstGeom>
                        <a:noFill/>
                        <a:ln w="9525">
                          <a:noFill/>
                          <a:miter lim="800000"/>
                          <a:headEnd/>
                          <a:tailEnd/>
                        </a:ln>
                      </wps:spPr>
                      <wps:txbx>
                        <w:txbxContent>
                          <w:p w14:paraId="4C2AABA1" w14:textId="7FFC17FA" w:rsidR="00DD0AA2" w:rsidRDefault="00DD0AA2">
                            <w:r>
                              <w:t>This page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E1A82" id="_x0000_t202" coordsize="21600,21600" o:spt="202" path="m,l,21600r21600,l21600,xe">
                <v:stroke joinstyle="miter"/>
                <v:path gradientshapeok="t" o:connecttype="rect"/>
              </v:shapetype>
              <v:shape id="Text Box 2" o:spid="_x0000_s1026" type="#_x0000_t202" alt="&quot;&quot;" style="position:absolute;left:0;text-align:left;margin-left:0;margin-top:0;width:192pt;height:21.5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" filled="f" stroked="f">
                <v:textbox style="mso-fit-shape-to-text:t">
                  <w:txbxContent>
                    <w:p w14:paraId="4C2AABA1" w14:textId="7FFC17FA" w:rsidR="00DD0AA2" w:rsidRDefault="00DD0AA2">
                      <w:r>
                        <w:t>This page left blank intentionally.</w:t>
                      </w:r>
                    </w:p>
                  </w:txbxContent>
                </v:textbox>
                <w10:wrap type="square" anchorx="margin" anchory="margin"/>
              </v:shape>
            </w:pict>
          </mc:Fallback>
        </mc:AlternateContent>
      </w:r>
      <w:sdt>
        <w:sdtPr>
          <w:id w:val="-1272778419"/>
          <w:docPartObj>
            <w:docPartGallery w:val="Watermarks"/>
          </w:docPartObj>
        </w:sdtPr>
        <w:sdtEndPr/>
        <w:sdtContent/>
      </w:sdt>
    </w:p>
    <w:p w14:paraId="71A7C33D" w14:textId="77777777" w:rsidR="004C29A7" w:rsidRPr="004C29A7" w:rsidRDefault="004C29A7" w:rsidP="004C29A7"/>
    <w:p w14:paraId="501031D3" w14:textId="77777777" w:rsidR="004C29A7" w:rsidRPr="004C29A7" w:rsidRDefault="004C29A7" w:rsidP="004C29A7"/>
    <w:p w14:paraId="75621447" w14:textId="77777777" w:rsidR="004C29A7" w:rsidRPr="004C29A7" w:rsidRDefault="004C29A7" w:rsidP="004C29A7"/>
    <w:p w14:paraId="713A308E" w14:textId="77777777" w:rsidR="004C29A7" w:rsidRPr="004C29A7" w:rsidRDefault="004C29A7" w:rsidP="004C29A7"/>
    <w:p w14:paraId="368851E4" w14:textId="77777777" w:rsidR="004C29A7" w:rsidRPr="004C29A7" w:rsidRDefault="004C29A7" w:rsidP="004C29A7"/>
    <w:p w14:paraId="57C1B4A6" w14:textId="77777777" w:rsidR="004C29A7" w:rsidRPr="004C29A7" w:rsidRDefault="004C29A7" w:rsidP="004C29A7"/>
    <w:p w14:paraId="472F19AC" w14:textId="77777777" w:rsidR="004C29A7" w:rsidRPr="004C29A7" w:rsidRDefault="004C29A7" w:rsidP="004C29A7"/>
    <w:p w14:paraId="05289921" w14:textId="77777777" w:rsidR="004C29A7" w:rsidRPr="004C29A7" w:rsidRDefault="004C29A7" w:rsidP="004C29A7"/>
    <w:p w14:paraId="3B78FD4D" w14:textId="77777777" w:rsidR="004C29A7" w:rsidRPr="004C29A7" w:rsidRDefault="004C29A7" w:rsidP="004C29A7"/>
    <w:p w14:paraId="5770BC7E" w14:textId="77777777" w:rsidR="004C29A7" w:rsidRDefault="004C29A7" w:rsidP="004C29A7"/>
    <w:p w14:paraId="5F6F3866" w14:textId="5ECBA3DE" w:rsidR="004C29A7" w:rsidRDefault="004C29A7" w:rsidP="004C29A7">
      <w:pPr>
        <w:tabs>
          <w:tab w:val="left" w:pos="2595"/>
        </w:tabs>
      </w:pPr>
      <w:r>
        <w:tab/>
      </w:r>
    </w:p>
    <w:p w14:paraId="6F26976C" w14:textId="77777777" w:rsidR="004C29A7" w:rsidRPr="004C29A7" w:rsidRDefault="004C29A7" w:rsidP="004C29A7">
      <w:pPr>
        <w:tabs>
          <w:tab w:val="left" w:pos="2595"/>
        </w:tabs>
        <w:sectPr w:rsidR="004C29A7" w:rsidRPr="004C29A7" w:rsidSect="00036156">
          <w:pgSz w:w="12240" w:h="15840" w:code="1"/>
          <w:pgMar w:top="1440" w:right="1440" w:bottom="1440" w:left="1440" w:header="720" w:footer="720" w:gutter="0"/>
          <w:pgNumType w:start="1"/>
          <w:cols w:space="720"/>
          <w:titlePg/>
          <w:docGrid w:linePitch="299"/>
        </w:sectPr>
      </w:pPr>
      <w:r>
        <w:tab/>
      </w:r>
    </w:p>
    <w:p w14:paraId="368C0558" w14:textId="1CAEFDFD" w:rsidR="00410B53" w:rsidRPr="00700BD4" w:rsidRDefault="00756CB4" w:rsidP="00700BD4">
      <w:pPr>
        <w:pStyle w:val="Heading1"/>
        <w:numPr>
          <w:ilvl w:val="0"/>
          <w:numId w:val="0"/>
        </w:numPr>
      </w:pPr>
      <w:bookmarkStart w:id="40" w:name="_Toc387672731"/>
      <w:bookmarkStart w:id="41" w:name="_Toc389210509"/>
      <w:bookmarkStart w:id="42" w:name="_Toc392060751"/>
      <w:bookmarkStart w:id="43" w:name="_Toc483490943"/>
      <w:bookmarkStart w:id="44" w:name="_Toc513098767"/>
      <w:bookmarkStart w:id="45" w:name="_Toc44056408"/>
      <w:bookmarkStart w:id="46" w:name="_Toc230351769"/>
      <w:r w:rsidRPr="00700BD4">
        <w:lastRenderedPageBreak/>
        <w:t>Table o</w:t>
      </w:r>
      <w:r w:rsidR="00410B53" w:rsidRPr="00700BD4">
        <w:t xml:space="preserve">f </w:t>
      </w:r>
      <w:r w:rsidRPr="00700BD4">
        <w:t>C</w:t>
      </w:r>
      <w:r w:rsidR="00410B53" w:rsidRPr="00700BD4">
        <w:t>ontents</w:t>
      </w:r>
      <w:bookmarkEnd w:id="40"/>
      <w:bookmarkEnd w:id="41"/>
      <w:bookmarkEnd w:id="42"/>
      <w:bookmarkEnd w:id="43"/>
      <w:bookmarkEnd w:id="44"/>
      <w:bookmarkEnd w:id="45"/>
      <w:bookmarkEnd w:id="46"/>
    </w:p>
    <w:p w14:paraId="33890897" w14:textId="5AFCDE3A" w:rsidR="008D7EBA" w:rsidRDefault="00505CB1">
      <w:pPr>
        <w:pStyle w:val="TOC1"/>
        <w:rPr>
          <w:rFonts w:asciiTheme="minorHAnsi" w:eastAsiaTheme="minorEastAsia" w:hAnsiTheme="minorHAnsi"/>
          <w:noProof/>
          <w:kern w:val="2"/>
          <w:sz w:val="24"/>
          <w:szCs w:val="24"/>
          <w14:ligatures w14:val="standardContextual"/>
        </w:rPr>
      </w:pPr>
      <w:r>
        <w:fldChar w:fldCharType="begin"/>
      </w:r>
      <w:r>
        <w:instrText xml:space="preserve"> TOC \o "1-3" \u </w:instrText>
      </w:r>
      <w:r>
        <w:fldChar w:fldCharType="separate"/>
      </w:r>
      <w:r w:rsidR="008D7EBA">
        <w:rPr>
          <w:noProof/>
        </w:rPr>
        <w:t>Table of Contents</w:t>
      </w:r>
      <w:r w:rsidR="008D7EBA">
        <w:rPr>
          <w:noProof/>
        </w:rPr>
        <w:tab/>
      </w:r>
      <w:r w:rsidR="008D7EBA">
        <w:rPr>
          <w:noProof/>
        </w:rPr>
        <w:fldChar w:fldCharType="begin"/>
      </w:r>
      <w:r w:rsidR="008D7EBA">
        <w:rPr>
          <w:noProof/>
        </w:rPr>
        <w:instrText xml:space="preserve"> PAGEREF _Toc230351769 \h </w:instrText>
      </w:r>
      <w:r w:rsidR="008D7EBA">
        <w:rPr>
          <w:noProof/>
        </w:rPr>
      </w:r>
      <w:r w:rsidR="008D7EBA">
        <w:rPr>
          <w:noProof/>
        </w:rPr>
        <w:fldChar w:fldCharType="separate"/>
      </w:r>
      <w:r w:rsidR="00702893">
        <w:rPr>
          <w:noProof/>
        </w:rPr>
        <w:t>i</w:t>
      </w:r>
      <w:r w:rsidR="008D7EBA">
        <w:rPr>
          <w:noProof/>
        </w:rPr>
        <w:fldChar w:fldCharType="end"/>
      </w:r>
    </w:p>
    <w:p w14:paraId="2B1B4F84" w14:textId="663454B8" w:rsidR="008D7EBA" w:rsidRDefault="008D7EBA">
      <w:pPr>
        <w:pStyle w:val="TOC2"/>
        <w:rPr>
          <w:rFonts w:asciiTheme="minorHAnsi" w:eastAsiaTheme="minorEastAsia" w:hAnsiTheme="minorHAnsi"/>
          <w:noProof/>
          <w:kern w:val="2"/>
          <w:sz w:val="24"/>
          <w:szCs w:val="24"/>
          <w14:ligatures w14:val="standardContextual"/>
        </w:rPr>
      </w:pPr>
      <w:r>
        <w:rPr>
          <w:noProof/>
        </w:rPr>
        <w:t>List of Tables</w:t>
      </w:r>
      <w:r>
        <w:rPr>
          <w:noProof/>
        </w:rPr>
        <w:tab/>
      </w:r>
      <w:r>
        <w:rPr>
          <w:noProof/>
        </w:rPr>
        <w:fldChar w:fldCharType="begin"/>
      </w:r>
      <w:r>
        <w:rPr>
          <w:noProof/>
        </w:rPr>
        <w:instrText xml:space="preserve"> PAGEREF _Toc230351770 \h </w:instrText>
      </w:r>
      <w:r>
        <w:rPr>
          <w:noProof/>
        </w:rPr>
      </w:r>
      <w:r>
        <w:rPr>
          <w:noProof/>
        </w:rPr>
        <w:fldChar w:fldCharType="separate"/>
      </w:r>
      <w:r w:rsidR="00702893">
        <w:rPr>
          <w:noProof/>
        </w:rPr>
        <w:t>i</w:t>
      </w:r>
      <w:r>
        <w:rPr>
          <w:noProof/>
        </w:rPr>
        <w:fldChar w:fldCharType="end"/>
      </w:r>
    </w:p>
    <w:p w14:paraId="51C63971" w14:textId="0B8CDAFA" w:rsidR="008D7EBA" w:rsidRDefault="008D7EBA">
      <w:pPr>
        <w:pStyle w:val="TOC1"/>
        <w:rPr>
          <w:rFonts w:asciiTheme="minorHAnsi" w:eastAsiaTheme="minorEastAsia" w:hAnsiTheme="minorHAnsi"/>
          <w:noProof/>
          <w:kern w:val="2"/>
          <w:sz w:val="24"/>
          <w:szCs w:val="24"/>
          <w14:ligatures w14:val="standardContextual"/>
        </w:rPr>
      </w:pPr>
      <w:r>
        <w:rPr>
          <w:noProof/>
        </w:rPr>
        <w:t>1.0</w:t>
      </w:r>
      <w:r>
        <w:rPr>
          <w:rFonts w:asciiTheme="minorHAnsi" w:eastAsiaTheme="minorEastAsia" w:hAnsiTheme="minorHAns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_Toc230351771 \h </w:instrText>
      </w:r>
      <w:r>
        <w:rPr>
          <w:noProof/>
        </w:rPr>
      </w:r>
      <w:r>
        <w:rPr>
          <w:noProof/>
        </w:rPr>
        <w:fldChar w:fldCharType="separate"/>
      </w:r>
      <w:r w:rsidR="00702893">
        <w:rPr>
          <w:noProof/>
        </w:rPr>
        <w:t>1</w:t>
      </w:r>
      <w:r>
        <w:rPr>
          <w:noProof/>
        </w:rPr>
        <w:fldChar w:fldCharType="end"/>
      </w:r>
    </w:p>
    <w:p w14:paraId="3C96909F" w14:textId="20C9674C" w:rsidR="008D7EBA" w:rsidRDefault="008D7EBA">
      <w:pPr>
        <w:pStyle w:val="TOC2"/>
        <w:tabs>
          <w:tab w:val="left" w:pos="720"/>
        </w:tabs>
        <w:rPr>
          <w:rFonts w:asciiTheme="minorHAnsi" w:eastAsiaTheme="minorEastAsia" w:hAnsiTheme="minorHAnsi"/>
          <w:noProof/>
          <w:kern w:val="2"/>
          <w:sz w:val="24"/>
          <w:szCs w:val="24"/>
          <w14:ligatures w14:val="standardContextual"/>
        </w:rPr>
      </w:pPr>
      <w:r>
        <w:rPr>
          <w:noProof/>
        </w:rPr>
        <w:t>1.1</w:t>
      </w:r>
      <w:r>
        <w:rPr>
          <w:rFonts w:asciiTheme="minorHAnsi" w:eastAsiaTheme="minorEastAsia" w:hAnsiTheme="minorHAnsi"/>
          <w:noProof/>
          <w:kern w:val="2"/>
          <w:sz w:val="24"/>
          <w:szCs w:val="24"/>
          <w14:ligatures w14:val="standardContextual"/>
        </w:rPr>
        <w:tab/>
      </w:r>
      <w:r>
        <w:rPr>
          <w:noProof/>
        </w:rPr>
        <w:t>Public Participation</w:t>
      </w:r>
      <w:r>
        <w:rPr>
          <w:noProof/>
        </w:rPr>
        <w:tab/>
      </w:r>
      <w:r>
        <w:rPr>
          <w:noProof/>
        </w:rPr>
        <w:fldChar w:fldCharType="begin"/>
      </w:r>
      <w:r>
        <w:rPr>
          <w:noProof/>
        </w:rPr>
        <w:instrText xml:space="preserve"> PAGEREF _Toc230351772 \h </w:instrText>
      </w:r>
      <w:r>
        <w:rPr>
          <w:noProof/>
        </w:rPr>
      </w:r>
      <w:r>
        <w:rPr>
          <w:noProof/>
        </w:rPr>
        <w:fldChar w:fldCharType="separate"/>
      </w:r>
      <w:r w:rsidR="00702893">
        <w:rPr>
          <w:noProof/>
        </w:rPr>
        <w:t>2</w:t>
      </w:r>
      <w:r>
        <w:rPr>
          <w:noProof/>
        </w:rPr>
        <w:fldChar w:fldCharType="end"/>
      </w:r>
    </w:p>
    <w:p w14:paraId="7737052A" w14:textId="50A91DAB" w:rsidR="008D7EBA" w:rsidRDefault="008D7EBA">
      <w:pPr>
        <w:pStyle w:val="TOC1"/>
        <w:rPr>
          <w:rFonts w:asciiTheme="minorHAnsi" w:eastAsiaTheme="minorEastAsia" w:hAnsiTheme="minorHAnsi"/>
          <w:noProof/>
          <w:kern w:val="2"/>
          <w:sz w:val="24"/>
          <w:szCs w:val="24"/>
          <w14:ligatures w14:val="standardContextual"/>
        </w:rPr>
      </w:pPr>
      <w:r>
        <w:rPr>
          <w:noProof/>
        </w:rPr>
        <w:t>2.0</w:t>
      </w:r>
      <w:r>
        <w:rPr>
          <w:rFonts w:asciiTheme="minorHAnsi" w:eastAsiaTheme="minorEastAsia" w:hAnsiTheme="minorHAnsi"/>
          <w:noProof/>
          <w:kern w:val="2"/>
          <w:sz w:val="24"/>
          <w:szCs w:val="24"/>
          <w14:ligatures w14:val="standardContextual"/>
        </w:rPr>
        <w:tab/>
      </w:r>
      <w:r>
        <w:rPr>
          <w:noProof/>
        </w:rPr>
        <w:t>EC Long-Term Goals</w:t>
      </w:r>
      <w:r>
        <w:rPr>
          <w:noProof/>
        </w:rPr>
        <w:tab/>
      </w:r>
      <w:r>
        <w:rPr>
          <w:noProof/>
        </w:rPr>
        <w:fldChar w:fldCharType="begin"/>
      </w:r>
      <w:r>
        <w:rPr>
          <w:noProof/>
        </w:rPr>
        <w:instrText xml:space="preserve"> PAGEREF _Toc230351773 \h </w:instrText>
      </w:r>
      <w:r>
        <w:rPr>
          <w:noProof/>
        </w:rPr>
      </w:r>
      <w:r>
        <w:rPr>
          <w:noProof/>
        </w:rPr>
        <w:fldChar w:fldCharType="separate"/>
      </w:r>
      <w:r w:rsidR="00702893">
        <w:rPr>
          <w:noProof/>
        </w:rPr>
        <w:t>2</w:t>
      </w:r>
      <w:r>
        <w:rPr>
          <w:noProof/>
        </w:rPr>
        <w:fldChar w:fldCharType="end"/>
      </w:r>
    </w:p>
    <w:p w14:paraId="14CE218F" w14:textId="0299EECA" w:rsidR="008D7EBA" w:rsidRDefault="008D7EBA">
      <w:pPr>
        <w:pStyle w:val="TOC1"/>
        <w:rPr>
          <w:rFonts w:asciiTheme="minorHAnsi" w:eastAsiaTheme="minorEastAsia" w:hAnsiTheme="minorHAnsi"/>
          <w:noProof/>
          <w:kern w:val="2"/>
          <w:sz w:val="24"/>
          <w:szCs w:val="24"/>
          <w14:ligatures w14:val="standardContextual"/>
        </w:rPr>
      </w:pPr>
      <w:r>
        <w:rPr>
          <w:noProof/>
        </w:rPr>
        <w:t>3.0</w:t>
      </w:r>
      <w:r>
        <w:rPr>
          <w:rFonts w:asciiTheme="minorHAnsi" w:eastAsiaTheme="minorEastAsia" w:hAnsiTheme="minorHAnsi"/>
          <w:noProof/>
          <w:kern w:val="2"/>
          <w:sz w:val="24"/>
          <w:szCs w:val="24"/>
          <w14:ligatures w14:val="standardContextual"/>
        </w:rPr>
        <w:tab/>
      </w:r>
      <w:r>
        <w:rPr>
          <w:noProof/>
        </w:rPr>
        <w:t>EC Short-Term Goals</w:t>
      </w:r>
      <w:r>
        <w:rPr>
          <w:noProof/>
        </w:rPr>
        <w:tab/>
      </w:r>
      <w:r>
        <w:rPr>
          <w:noProof/>
        </w:rPr>
        <w:fldChar w:fldCharType="begin"/>
      </w:r>
      <w:r>
        <w:rPr>
          <w:noProof/>
        </w:rPr>
        <w:instrText xml:space="preserve"> PAGEREF _Toc230351774 \h </w:instrText>
      </w:r>
      <w:r>
        <w:rPr>
          <w:noProof/>
        </w:rPr>
      </w:r>
      <w:r>
        <w:rPr>
          <w:noProof/>
        </w:rPr>
        <w:fldChar w:fldCharType="separate"/>
      </w:r>
      <w:r w:rsidR="00702893">
        <w:rPr>
          <w:noProof/>
        </w:rPr>
        <w:t>2</w:t>
      </w:r>
      <w:r>
        <w:rPr>
          <w:noProof/>
        </w:rPr>
        <w:fldChar w:fldCharType="end"/>
      </w:r>
    </w:p>
    <w:p w14:paraId="42EA23D2" w14:textId="1D372A91" w:rsidR="008D7EBA" w:rsidRDefault="008D7EBA">
      <w:pPr>
        <w:pStyle w:val="TOC1"/>
        <w:rPr>
          <w:rFonts w:asciiTheme="minorHAnsi" w:eastAsiaTheme="minorEastAsia" w:hAnsiTheme="minorHAnsi"/>
          <w:noProof/>
          <w:kern w:val="2"/>
          <w:sz w:val="24"/>
          <w:szCs w:val="24"/>
          <w14:ligatures w14:val="standardContextual"/>
        </w:rPr>
      </w:pPr>
      <w:r>
        <w:rPr>
          <w:noProof/>
        </w:rPr>
        <w:t>4.0</w:t>
      </w:r>
      <w:r>
        <w:rPr>
          <w:rFonts w:asciiTheme="minorHAnsi" w:eastAsiaTheme="minorEastAsia" w:hAnsiTheme="minorHAnsi"/>
          <w:noProof/>
          <w:kern w:val="2"/>
          <w:sz w:val="24"/>
          <w:szCs w:val="24"/>
          <w14:ligatures w14:val="standardContextual"/>
        </w:rPr>
        <w:tab/>
      </w:r>
      <w:r>
        <w:rPr>
          <w:noProof/>
        </w:rPr>
        <w:t>Project Priority List</w:t>
      </w:r>
      <w:r>
        <w:rPr>
          <w:noProof/>
        </w:rPr>
        <w:tab/>
      </w:r>
      <w:r>
        <w:rPr>
          <w:noProof/>
        </w:rPr>
        <w:fldChar w:fldCharType="begin"/>
      </w:r>
      <w:r>
        <w:rPr>
          <w:noProof/>
        </w:rPr>
        <w:instrText xml:space="preserve"> PAGEREF _Toc230351775 \h </w:instrText>
      </w:r>
      <w:r>
        <w:rPr>
          <w:noProof/>
        </w:rPr>
      </w:r>
      <w:r>
        <w:rPr>
          <w:noProof/>
        </w:rPr>
        <w:fldChar w:fldCharType="separate"/>
      </w:r>
      <w:r w:rsidR="00702893">
        <w:rPr>
          <w:noProof/>
        </w:rPr>
        <w:t>2</w:t>
      </w:r>
      <w:r>
        <w:rPr>
          <w:noProof/>
        </w:rPr>
        <w:fldChar w:fldCharType="end"/>
      </w:r>
    </w:p>
    <w:p w14:paraId="2B6D03F6" w14:textId="16767499" w:rsidR="008D7EBA" w:rsidRDefault="008D7EBA">
      <w:pPr>
        <w:pStyle w:val="TOC1"/>
        <w:rPr>
          <w:rFonts w:asciiTheme="minorHAnsi" w:eastAsiaTheme="minorEastAsia" w:hAnsiTheme="minorHAnsi"/>
          <w:noProof/>
          <w:kern w:val="2"/>
          <w:sz w:val="24"/>
          <w:szCs w:val="24"/>
          <w14:ligatures w14:val="standardContextual"/>
        </w:rPr>
      </w:pPr>
      <w:r>
        <w:rPr>
          <w:noProof/>
        </w:rPr>
        <w:t>5.0</w:t>
      </w:r>
      <w:r>
        <w:rPr>
          <w:rFonts w:asciiTheme="minorHAnsi" w:eastAsiaTheme="minorEastAsia" w:hAnsiTheme="minorHAnsi"/>
          <w:noProof/>
          <w:kern w:val="2"/>
          <w:sz w:val="24"/>
          <w:szCs w:val="24"/>
          <w14:ligatures w14:val="standardContextual"/>
        </w:rPr>
        <w:tab/>
      </w:r>
      <w:r>
        <w:rPr>
          <w:noProof/>
        </w:rPr>
        <w:t>EC Grant Eligible Systems and Projects</w:t>
      </w:r>
      <w:r>
        <w:rPr>
          <w:noProof/>
        </w:rPr>
        <w:tab/>
      </w:r>
      <w:r>
        <w:rPr>
          <w:noProof/>
        </w:rPr>
        <w:fldChar w:fldCharType="begin"/>
      </w:r>
      <w:r>
        <w:rPr>
          <w:noProof/>
        </w:rPr>
        <w:instrText xml:space="preserve"> PAGEREF _Toc230351776 \h </w:instrText>
      </w:r>
      <w:r>
        <w:rPr>
          <w:noProof/>
        </w:rPr>
      </w:r>
      <w:r>
        <w:rPr>
          <w:noProof/>
        </w:rPr>
        <w:fldChar w:fldCharType="separate"/>
      </w:r>
      <w:r w:rsidR="00702893">
        <w:rPr>
          <w:noProof/>
        </w:rPr>
        <w:t>3</w:t>
      </w:r>
      <w:r>
        <w:rPr>
          <w:noProof/>
        </w:rPr>
        <w:fldChar w:fldCharType="end"/>
      </w:r>
    </w:p>
    <w:p w14:paraId="103DB196" w14:textId="63D65EC2" w:rsidR="008D7EBA" w:rsidRDefault="008D7EBA">
      <w:pPr>
        <w:pStyle w:val="TOC1"/>
        <w:rPr>
          <w:rFonts w:asciiTheme="minorHAnsi" w:eastAsiaTheme="minorEastAsia" w:hAnsiTheme="minorHAnsi"/>
          <w:noProof/>
          <w:kern w:val="2"/>
          <w:sz w:val="24"/>
          <w:szCs w:val="24"/>
          <w14:ligatures w14:val="standardContextual"/>
        </w:rPr>
      </w:pPr>
      <w:r>
        <w:rPr>
          <w:noProof/>
        </w:rPr>
        <w:t>6.0</w:t>
      </w:r>
      <w:r>
        <w:rPr>
          <w:rFonts w:asciiTheme="minorHAnsi" w:eastAsiaTheme="minorEastAsia" w:hAnsiTheme="minorHAnsi"/>
          <w:noProof/>
          <w:kern w:val="2"/>
          <w:sz w:val="24"/>
          <w:szCs w:val="24"/>
          <w14:ligatures w14:val="standardContextual"/>
        </w:rPr>
        <w:tab/>
      </w:r>
      <w:r>
        <w:rPr>
          <w:noProof/>
        </w:rPr>
        <w:t>Disadvantaged Communities</w:t>
      </w:r>
      <w:r>
        <w:rPr>
          <w:noProof/>
        </w:rPr>
        <w:tab/>
      </w:r>
      <w:r>
        <w:rPr>
          <w:noProof/>
        </w:rPr>
        <w:fldChar w:fldCharType="begin"/>
      </w:r>
      <w:r>
        <w:rPr>
          <w:noProof/>
        </w:rPr>
        <w:instrText xml:space="preserve"> PAGEREF _Toc230351777 \h </w:instrText>
      </w:r>
      <w:r>
        <w:rPr>
          <w:noProof/>
        </w:rPr>
      </w:r>
      <w:r>
        <w:rPr>
          <w:noProof/>
        </w:rPr>
        <w:fldChar w:fldCharType="separate"/>
      </w:r>
      <w:r w:rsidR="00702893">
        <w:rPr>
          <w:noProof/>
        </w:rPr>
        <w:t>3</w:t>
      </w:r>
      <w:r>
        <w:rPr>
          <w:noProof/>
        </w:rPr>
        <w:fldChar w:fldCharType="end"/>
      </w:r>
    </w:p>
    <w:p w14:paraId="29D28A54" w14:textId="7C30F229" w:rsidR="008D7EBA" w:rsidRDefault="008D7EBA">
      <w:pPr>
        <w:pStyle w:val="TOC1"/>
        <w:rPr>
          <w:rFonts w:asciiTheme="minorHAnsi" w:eastAsiaTheme="minorEastAsia" w:hAnsiTheme="minorHAnsi"/>
          <w:noProof/>
          <w:kern w:val="2"/>
          <w:sz w:val="24"/>
          <w:szCs w:val="24"/>
          <w14:ligatures w14:val="standardContextual"/>
        </w:rPr>
      </w:pPr>
      <w:r>
        <w:rPr>
          <w:noProof/>
        </w:rPr>
        <w:t>7.0</w:t>
      </w:r>
      <w:r>
        <w:rPr>
          <w:rFonts w:asciiTheme="minorHAnsi" w:eastAsiaTheme="minorEastAsia" w:hAnsiTheme="minorHAnsi"/>
          <w:noProof/>
          <w:kern w:val="2"/>
          <w:sz w:val="24"/>
          <w:szCs w:val="24"/>
          <w14:ligatures w14:val="standardContextual"/>
        </w:rPr>
        <w:tab/>
      </w:r>
      <w:r>
        <w:rPr>
          <w:noProof/>
        </w:rPr>
        <w:t>Anticipated Funding List</w:t>
      </w:r>
      <w:r>
        <w:rPr>
          <w:noProof/>
        </w:rPr>
        <w:tab/>
      </w:r>
      <w:r>
        <w:rPr>
          <w:noProof/>
        </w:rPr>
        <w:fldChar w:fldCharType="begin"/>
      </w:r>
      <w:r>
        <w:rPr>
          <w:noProof/>
        </w:rPr>
        <w:instrText xml:space="preserve"> PAGEREF _Toc230351778 \h </w:instrText>
      </w:r>
      <w:r>
        <w:rPr>
          <w:noProof/>
        </w:rPr>
      </w:r>
      <w:r>
        <w:rPr>
          <w:noProof/>
        </w:rPr>
        <w:fldChar w:fldCharType="separate"/>
      </w:r>
      <w:r w:rsidR="00702893">
        <w:rPr>
          <w:noProof/>
        </w:rPr>
        <w:t>4</w:t>
      </w:r>
      <w:r>
        <w:rPr>
          <w:noProof/>
        </w:rPr>
        <w:fldChar w:fldCharType="end"/>
      </w:r>
    </w:p>
    <w:p w14:paraId="0D119342" w14:textId="7D053388" w:rsidR="008D7EBA" w:rsidRDefault="008D7EBA">
      <w:pPr>
        <w:pStyle w:val="TOC1"/>
        <w:rPr>
          <w:rFonts w:asciiTheme="minorHAnsi" w:eastAsiaTheme="minorEastAsia" w:hAnsiTheme="minorHAnsi"/>
          <w:noProof/>
          <w:kern w:val="2"/>
          <w:sz w:val="24"/>
          <w:szCs w:val="24"/>
          <w14:ligatures w14:val="standardContextual"/>
        </w:rPr>
      </w:pPr>
      <w:r>
        <w:rPr>
          <w:noProof/>
        </w:rPr>
        <w:t>8.0</w:t>
      </w:r>
      <w:r>
        <w:rPr>
          <w:rFonts w:asciiTheme="minorHAnsi" w:eastAsiaTheme="minorEastAsia" w:hAnsiTheme="minorHAnsi"/>
          <w:noProof/>
          <w:kern w:val="2"/>
          <w:sz w:val="24"/>
          <w:szCs w:val="24"/>
          <w14:ligatures w14:val="standardContextual"/>
        </w:rPr>
        <w:tab/>
      </w:r>
      <w:r>
        <w:rPr>
          <w:noProof/>
        </w:rPr>
        <w:t>Summary of Ranking Criteria for DWSRF EC Priority List</w:t>
      </w:r>
      <w:r>
        <w:rPr>
          <w:noProof/>
        </w:rPr>
        <w:tab/>
      </w:r>
      <w:r>
        <w:rPr>
          <w:noProof/>
        </w:rPr>
        <w:fldChar w:fldCharType="begin"/>
      </w:r>
      <w:r>
        <w:rPr>
          <w:noProof/>
        </w:rPr>
        <w:instrText xml:space="preserve"> PAGEREF _Toc230351779 \h </w:instrText>
      </w:r>
      <w:r>
        <w:rPr>
          <w:noProof/>
        </w:rPr>
      </w:r>
      <w:r>
        <w:rPr>
          <w:noProof/>
        </w:rPr>
        <w:fldChar w:fldCharType="separate"/>
      </w:r>
      <w:r w:rsidR="00702893">
        <w:rPr>
          <w:noProof/>
        </w:rPr>
        <w:t>4</w:t>
      </w:r>
      <w:r>
        <w:rPr>
          <w:noProof/>
        </w:rPr>
        <w:fldChar w:fldCharType="end"/>
      </w:r>
    </w:p>
    <w:p w14:paraId="764AFD2D" w14:textId="754FD278" w:rsidR="008D7EBA" w:rsidRDefault="008D7EBA">
      <w:pPr>
        <w:pStyle w:val="TOC1"/>
        <w:rPr>
          <w:rFonts w:asciiTheme="minorHAnsi" w:eastAsiaTheme="minorEastAsia" w:hAnsiTheme="minorHAnsi"/>
          <w:noProof/>
          <w:kern w:val="2"/>
          <w:sz w:val="24"/>
          <w:szCs w:val="24"/>
          <w14:ligatures w14:val="standardContextual"/>
        </w:rPr>
      </w:pPr>
      <w:r>
        <w:rPr>
          <w:noProof/>
        </w:rPr>
        <w:t>9.0</w:t>
      </w:r>
      <w:r>
        <w:rPr>
          <w:rFonts w:asciiTheme="minorHAnsi" w:eastAsiaTheme="minorEastAsia" w:hAnsiTheme="minorHAnsi"/>
          <w:noProof/>
          <w:kern w:val="2"/>
          <w:sz w:val="24"/>
          <w:szCs w:val="24"/>
          <w14:ligatures w14:val="standardContextual"/>
        </w:rPr>
        <w:tab/>
      </w:r>
      <w:r>
        <w:rPr>
          <w:noProof/>
        </w:rPr>
        <w:t>EC Grant Financial Status</w:t>
      </w:r>
      <w:r>
        <w:rPr>
          <w:noProof/>
        </w:rPr>
        <w:tab/>
      </w:r>
      <w:r>
        <w:rPr>
          <w:noProof/>
        </w:rPr>
        <w:fldChar w:fldCharType="begin"/>
      </w:r>
      <w:r>
        <w:rPr>
          <w:noProof/>
        </w:rPr>
        <w:instrText xml:space="preserve"> PAGEREF _Toc230351780 \h </w:instrText>
      </w:r>
      <w:r>
        <w:rPr>
          <w:noProof/>
        </w:rPr>
      </w:r>
      <w:r>
        <w:rPr>
          <w:noProof/>
        </w:rPr>
        <w:fldChar w:fldCharType="separate"/>
      </w:r>
      <w:r w:rsidR="00702893">
        <w:rPr>
          <w:noProof/>
        </w:rPr>
        <w:t>6</w:t>
      </w:r>
      <w:r>
        <w:rPr>
          <w:noProof/>
        </w:rPr>
        <w:fldChar w:fldCharType="end"/>
      </w:r>
    </w:p>
    <w:p w14:paraId="35DF9C03" w14:textId="4741CAD3" w:rsidR="008D7EBA" w:rsidRDefault="008D7EBA">
      <w:pPr>
        <w:pStyle w:val="TOC1"/>
        <w:rPr>
          <w:rFonts w:asciiTheme="minorHAnsi" w:eastAsiaTheme="minorEastAsia" w:hAnsiTheme="minorHAnsi"/>
          <w:noProof/>
          <w:kern w:val="2"/>
          <w:sz w:val="24"/>
          <w:szCs w:val="24"/>
          <w14:ligatures w14:val="standardContextual"/>
        </w:rPr>
      </w:pPr>
      <w:r>
        <w:rPr>
          <w:noProof/>
        </w:rPr>
        <w:t>10.0</w:t>
      </w:r>
      <w:r>
        <w:rPr>
          <w:rFonts w:asciiTheme="minorHAnsi" w:eastAsiaTheme="minorEastAsia" w:hAnsiTheme="minorHAnsi"/>
          <w:noProof/>
          <w:kern w:val="2"/>
          <w:sz w:val="24"/>
          <w:szCs w:val="24"/>
          <w14:ligatures w14:val="standardContextual"/>
        </w:rPr>
        <w:tab/>
      </w:r>
      <w:r>
        <w:rPr>
          <w:noProof/>
        </w:rPr>
        <w:t>Transfer of Funds between the WPCSRF and the DWSRF</w:t>
      </w:r>
      <w:r>
        <w:rPr>
          <w:noProof/>
        </w:rPr>
        <w:tab/>
      </w:r>
      <w:r>
        <w:rPr>
          <w:noProof/>
        </w:rPr>
        <w:fldChar w:fldCharType="begin"/>
      </w:r>
      <w:r>
        <w:rPr>
          <w:noProof/>
        </w:rPr>
        <w:instrText xml:space="preserve"> PAGEREF _Toc230351781 \h </w:instrText>
      </w:r>
      <w:r>
        <w:rPr>
          <w:noProof/>
        </w:rPr>
      </w:r>
      <w:r>
        <w:rPr>
          <w:noProof/>
        </w:rPr>
        <w:fldChar w:fldCharType="separate"/>
      </w:r>
      <w:r w:rsidR="00702893">
        <w:rPr>
          <w:noProof/>
        </w:rPr>
        <w:t>8</w:t>
      </w:r>
      <w:r>
        <w:rPr>
          <w:noProof/>
        </w:rPr>
        <w:fldChar w:fldCharType="end"/>
      </w:r>
    </w:p>
    <w:p w14:paraId="5E70F1E2" w14:textId="4D401832" w:rsidR="008D7EBA" w:rsidRDefault="008D7EBA">
      <w:pPr>
        <w:pStyle w:val="TOC1"/>
        <w:rPr>
          <w:rFonts w:asciiTheme="minorHAnsi" w:eastAsiaTheme="minorEastAsia" w:hAnsiTheme="minorHAnsi"/>
          <w:noProof/>
          <w:kern w:val="2"/>
          <w:sz w:val="24"/>
          <w:szCs w:val="24"/>
          <w14:ligatures w14:val="standardContextual"/>
        </w:rPr>
      </w:pPr>
      <w:r>
        <w:rPr>
          <w:noProof/>
        </w:rPr>
        <w:t>11.0</w:t>
      </w:r>
      <w:r>
        <w:rPr>
          <w:rFonts w:asciiTheme="minorHAnsi" w:eastAsiaTheme="minorEastAsia" w:hAnsiTheme="minorHAnsi"/>
          <w:noProof/>
          <w:kern w:val="2"/>
          <w:sz w:val="24"/>
          <w:szCs w:val="24"/>
          <w14:ligatures w14:val="standardContextual"/>
        </w:rPr>
        <w:tab/>
      </w:r>
      <w:r>
        <w:rPr>
          <w:noProof/>
        </w:rPr>
        <w:t>Assurances</w:t>
      </w:r>
      <w:r>
        <w:rPr>
          <w:noProof/>
        </w:rPr>
        <w:tab/>
      </w:r>
      <w:r>
        <w:rPr>
          <w:noProof/>
        </w:rPr>
        <w:fldChar w:fldCharType="begin"/>
      </w:r>
      <w:r>
        <w:rPr>
          <w:noProof/>
        </w:rPr>
        <w:instrText xml:space="preserve"> PAGEREF _Toc230351782 \h </w:instrText>
      </w:r>
      <w:r>
        <w:rPr>
          <w:noProof/>
        </w:rPr>
      </w:r>
      <w:r>
        <w:rPr>
          <w:noProof/>
        </w:rPr>
        <w:fldChar w:fldCharType="separate"/>
      </w:r>
      <w:r w:rsidR="00702893">
        <w:rPr>
          <w:noProof/>
        </w:rPr>
        <w:t>9</w:t>
      </w:r>
      <w:r>
        <w:rPr>
          <w:noProof/>
        </w:rPr>
        <w:fldChar w:fldCharType="end"/>
      </w:r>
    </w:p>
    <w:p w14:paraId="2DFC604A" w14:textId="5ACA82A9" w:rsidR="008D7EBA" w:rsidRDefault="008D7EBA">
      <w:pPr>
        <w:pStyle w:val="TOC1"/>
        <w:rPr>
          <w:rFonts w:asciiTheme="minorHAnsi" w:eastAsiaTheme="minorEastAsia" w:hAnsiTheme="minorHAnsi"/>
          <w:noProof/>
          <w:kern w:val="2"/>
          <w:sz w:val="24"/>
          <w:szCs w:val="24"/>
          <w14:ligatures w14:val="standardContextual"/>
        </w:rPr>
      </w:pPr>
      <w:r>
        <w:rPr>
          <w:noProof/>
        </w:rPr>
        <w:t>12.0</w:t>
      </w:r>
      <w:r>
        <w:rPr>
          <w:rFonts w:asciiTheme="minorHAnsi" w:eastAsiaTheme="minorEastAsia" w:hAnsiTheme="minorHAnsi"/>
          <w:noProof/>
          <w:kern w:val="2"/>
          <w:sz w:val="24"/>
          <w:szCs w:val="24"/>
          <w14:ligatures w14:val="standardContextual"/>
        </w:rPr>
        <w:tab/>
      </w:r>
      <w:r>
        <w:rPr>
          <w:noProof/>
        </w:rPr>
        <w:t>Set-Asides</w:t>
      </w:r>
      <w:r>
        <w:rPr>
          <w:noProof/>
        </w:rPr>
        <w:tab/>
      </w:r>
      <w:r>
        <w:rPr>
          <w:noProof/>
        </w:rPr>
        <w:fldChar w:fldCharType="begin"/>
      </w:r>
      <w:r>
        <w:rPr>
          <w:noProof/>
        </w:rPr>
        <w:instrText xml:space="preserve"> PAGEREF _Toc230351783 \h </w:instrText>
      </w:r>
      <w:r>
        <w:rPr>
          <w:noProof/>
        </w:rPr>
      </w:r>
      <w:r>
        <w:rPr>
          <w:noProof/>
        </w:rPr>
        <w:fldChar w:fldCharType="separate"/>
      </w:r>
      <w:r w:rsidR="00702893">
        <w:rPr>
          <w:noProof/>
        </w:rPr>
        <w:t>9</w:t>
      </w:r>
      <w:r>
        <w:rPr>
          <w:noProof/>
        </w:rPr>
        <w:fldChar w:fldCharType="end"/>
      </w:r>
    </w:p>
    <w:p w14:paraId="4606D405" w14:textId="6B48DE38" w:rsidR="008D7EBA" w:rsidRDefault="008D7EBA">
      <w:pPr>
        <w:pStyle w:val="TOC2"/>
        <w:tabs>
          <w:tab w:val="left" w:pos="720"/>
        </w:tabs>
        <w:rPr>
          <w:noProof/>
        </w:rPr>
      </w:pPr>
      <w:r>
        <w:rPr>
          <w:noProof/>
        </w:rPr>
        <w:t>12.1</w:t>
      </w:r>
      <w:r>
        <w:rPr>
          <w:rFonts w:asciiTheme="minorHAnsi" w:eastAsiaTheme="minorEastAsia" w:hAnsiTheme="minorHAnsi"/>
          <w:noProof/>
          <w:kern w:val="2"/>
          <w:sz w:val="24"/>
          <w:szCs w:val="24"/>
          <w14:ligatures w14:val="standardContextual"/>
        </w:rPr>
        <w:tab/>
      </w:r>
      <w:r>
        <w:rPr>
          <w:noProof/>
        </w:rPr>
        <w:t>Administration</w:t>
      </w:r>
      <w:r>
        <w:rPr>
          <w:noProof/>
        </w:rPr>
        <w:tab/>
      </w:r>
      <w:r>
        <w:rPr>
          <w:noProof/>
        </w:rPr>
        <w:fldChar w:fldCharType="begin"/>
      </w:r>
      <w:r>
        <w:rPr>
          <w:noProof/>
        </w:rPr>
        <w:instrText xml:space="preserve"> PAGEREF _Toc230351784 \h </w:instrText>
      </w:r>
      <w:r>
        <w:rPr>
          <w:noProof/>
        </w:rPr>
      </w:r>
      <w:r>
        <w:rPr>
          <w:noProof/>
        </w:rPr>
        <w:fldChar w:fldCharType="separate"/>
      </w:r>
      <w:r w:rsidR="00702893">
        <w:rPr>
          <w:noProof/>
        </w:rPr>
        <w:t>10</w:t>
      </w:r>
      <w:r>
        <w:rPr>
          <w:noProof/>
        </w:rPr>
        <w:fldChar w:fldCharType="end"/>
      </w:r>
    </w:p>
    <w:p w14:paraId="1EB9DA79" w14:textId="77777777" w:rsidR="008D7EBA" w:rsidRDefault="008D7EBA" w:rsidP="008D7EBA">
      <w:pPr>
        <w:rPr>
          <w:noProof/>
        </w:rPr>
      </w:pPr>
    </w:p>
    <w:p w14:paraId="05684F05" w14:textId="77777777" w:rsidR="008D7EBA" w:rsidRPr="008D7EBA" w:rsidRDefault="008D7EBA" w:rsidP="008D7EBA">
      <w:pPr>
        <w:rPr>
          <w:noProof/>
        </w:rPr>
      </w:pPr>
    </w:p>
    <w:p w14:paraId="0F009531" w14:textId="02550AC7" w:rsidR="008D7EBA" w:rsidRDefault="008D7EBA">
      <w:pPr>
        <w:pStyle w:val="TOC1"/>
        <w:rPr>
          <w:rFonts w:asciiTheme="minorHAnsi" w:eastAsiaTheme="minorEastAsia" w:hAnsiTheme="minorHAnsi"/>
          <w:noProof/>
          <w:kern w:val="2"/>
          <w:sz w:val="24"/>
          <w:szCs w:val="24"/>
          <w14:ligatures w14:val="standardContextual"/>
        </w:rPr>
      </w:pPr>
      <w:r>
        <w:rPr>
          <w:noProof/>
        </w:rPr>
        <w:t>APPENDIX 1: RANKING CRITERIA FOR DWSRF PRIORITY LIST AND BYPASS PROCEDURES</w:t>
      </w:r>
    </w:p>
    <w:p w14:paraId="24683652" w14:textId="138B25D3" w:rsidR="008D7EBA" w:rsidRDefault="008D7EBA">
      <w:pPr>
        <w:pStyle w:val="TOC1"/>
        <w:rPr>
          <w:rFonts w:asciiTheme="minorHAnsi" w:eastAsiaTheme="minorEastAsia" w:hAnsiTheme="minorHAnsi"/>
          <w:noProof/>
          <w:kern w:val="2"/>
          <w:sz w:val="24"/>
          <w:szCs w:val="24"/>
          <w14:ligatures w14:val="standardContextual"/>
        </w:rPr>
      </w:pPr>
      <w:r>
        <w:rPr>
          <w:noProof/>
        </w:rPr>
        <w:t>APPENDIX 2: DWSRF EC COMPREHENSIVE PROJECT LIST—SFY 2027</w:t>
      </w:r>
    </w:p>
    <w:p w14:paraId="4CF8A022" w14:textId="5C36C59A" w:rsidR="008D7EBA" w:rsidRDefault="008D7EBA">
      <w:pPr>
        <w:pStyle w:val="TOC1"/>
        <w:rPr>
          <w:rFonts w:asciiTheme="minorHAnsi" w:eastAsiaTheme="minorEastAsia" w:hAnsiTheme="minorHAnsi"/>
          <w:noProof/>
          <w:kern w:val="2"/>
          <w:sz w:val="24"/>
          <w:szCs w:val="24"/>
          <w14:ligatures w14:val="standardContextual"/>
        </w:rPr>
      </w:pPr>
      <w:r w:rsidRPr="00F90903">
        <w:rPr>
          <w:noProof/>
          <w:snapToGrid w:val="0"/>
        </w:rPr>
        <w:t xml:space="preserve">APPENDIX 3: </w:t>
      </w:r>
      <w:r>
        <w:rPr>
          <w:noProof/>
        </w:rPr>
        <w:t>GLOSSARY</w:t>
      </w:r>
      <w:r w:rsidRPr="00F90903">
        <w:rPr>
          <w:noProof/>
          <w:snapToGrid w:val="0"/>
        </w:rPr>
        <w:t xml:space="preserve"> OF ACRONYMS AND INITIALIZATIONS</w:t>
      </w:r>
    </w:p>
    <w:p w14:paraId="7C2DE80E" w14:textId="792428F7" w:rsidR="00410B53" w:rsidRDefault="00505CB1" w:rsidP="00A3077F">
      <w:r>
        <w:fldChar w:fldCharType="end"/>
      </w:r>
    </w:p>
    <w:p w14:paraId="0D9E2F48" w14:textId="77777777" w:rsidR="002B2C0B" w:rsidRDefault="00756CB4" w:rsidP="002B2C0B">
      <w:pPr>
        <w:pStyle w:val="Heading2"/>
        <w:numPr>
          <w:ilvl w:val="0"/>
          <w:numId w:val="0"/>
        </w:numPr>
        <w:ind w:left="720" w:hanging="720"/>
      </w:pPr>
      <w:bookmarkStart w:id="47" w:name="_Toc387672732"/>
      <w:bookmarkStart w:id="48" w:name="_Toc389210510"/>
      <w:bookmarkStart w:id="49" w:name="_Toc392060752"/>
      <w:bookmarkStart w:id="50" w:name="_Toc513098768"/>
      <w:bookmarkStart w:id="51" w:name="_Toc44056409"/>
      <w:bookmarkStart w:id="52" w:name="_Toc230351770"/>
      <w:r w:rsidRPr="00A203D0">
        <w:t>List of Tables</w:t>
      </w:r>
      <w:bookmarkEnd w:id="47"/>
      <w:bookmarkEnd w:id="48"/>
      <w:bookmarkEnd w:id="49"/>
      <w:bookmarkEnd w:id="50"/>
      <w:bookmarkEnd w:id="51"/>
      <w:bookmarkEnd w:id="52"/>
    </w:p>
    <w:p w14:paraId="2AD18EDB" w14:textId="41850344" w:rsidR="0025716E" w:rsidRDefault="004C5DB3" w:rsidP="0025716E">
      <w:pPr>
        <w:pStyle w:val="TableofFigures"/>
        <w:tabs>
          <w:tab w:val="right" w:leader="dot" w:pos="9350"/>
        </w:tabs>
        <w:spacing w:after="120"/>
        <w:rPr>
          <w:rFonts w:asciiTheme="minorHAnsi" w:eastAsiaTheme="minorEastAsia" w:hAnsiTheme="minorHAnsi"/>
          <w:noProof/>
          <w:kern w:val="2"/>
          <w:sz w:val="24"/>
          <w:szCs w:val="24"/>
          <w14:ligatures w14:val="standardContextual"/>
        </w:rPr>
      </w:pPr>
      <w:r>
        <w:rPr>
          <w:rFonts w:eastAsiaTheme="majorEastAsia" w:cstheme="majorBidi"/>
          <w:b/>
          <w:bCs/>
          <w:smallCaps/>
          <w:noProof/>
          <w:sz w:val="32"/>
          <w:szCs w:val="26"/>
        </w:rPr>
        <w:fldChar w:fldCharType="begin"/>
      </w:r>
      <w:r>
        <w:rPr>
          <w:noProof/>
        </w:rPr>
        <w:instrText xml:space="preserve"> TOC \h \z \c "Table" </w:instrText>
      </w:r>
      <w:r>
        <w:rPr>
          <w:rFonts w:eastAsiaTheme="majorEastAsia" w:cstheme="majorBidi"/>
          <w:b/>
          <w:bCs/>
          <w:smallCaps/>
          <w:noProof/>
          <w:sz w:val="32"/>
          <w:szCs w:val="26"/>
        </w:rPr>
        <w:fldChar w:fldCharType="separate"/>
      </w:r>
      <w:hyperlink w:anchor="_Toc230351714" w:history="1">
        <w:r w:rsidR="0025716E" w:rsidRPr="00D71BB4">
          <w:rPr>
            <w:rStyle w:val="Hyperlink"/>
            <w:noProof/>
          </w:rPr>
          <w:t>Table 1. DWSRF Projects Anticipated to Receive FFY 2026 EC Grant Funding for SFY 2027</w:t>
        </w:r>
        <w:r w:rsidR="0025716E">
          <w:rPr>
            <w:noProof/>
            <w:webHidden/>
          </w:rPr>
          <w:tab/>
        </w:r>
        <w:r w:rsidR="0025716E">
          <w:rPr>
            <w:noProof/>
            <w:webHidden/>
          </w:rPr>
          <w:fldChar w:fldCharType="begin"/>
        </w:r>
        <w:r w:rsidR="0025716E">
          <w:rPr>
            <w:noProof/>
            <w:webHidden/>
          </w:rPr>
          <w:instrText xml:space="preserve"> PAGEREF _Toc230351714 \h </w:instrText>
        </w:r>
        <w:r w:rsidR="0025716E">
          <w:rPr>
            <w:noProof/>
            <w:webHidden/>
          </w:rPr>
        </w:r>
        <w:r w:rsidR="0025716E">
          <w:rPr>
            <w:noProof/>
            <w:webHidden/>
          </w:rPr>
          <w:fldChar w:fldCharType="separate"/>
        </w:r>
        <w:r w:rsidR="00702893">
          <w:rPr>
            <w:noProof/>
            <w:webHidden/>
          </w:rPr>
          <w:t>4</w:t>
        </w:r>
        <w:r w:rsidR="0025716E">
          <w:rPr>
            <w:noProof/>
            <w:webHidden/>
          </w:rPr>
          <w:fldChar w:fldCharType="end"/>
        </w:r>
      </w:hyperlink>
    </w:p>
    <w:p w14:paraId="44622E71" w14:textId="6F0D8363" w:rsidR="0025716E" w:rsidRDefault="005C4865" w:rsidP="0025716E">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1715" w:history="1">
        <w:r w:rsidR="0025716E" w:rsidRPr="00D71BB4">
          <w:rPr>
            <w:rStyle w:val="Hyperlink"/>
            <w:noProof/>
          </w:rPr>
          <w:t>Table 2. State DWSRF Set-Aside Activity for the EC Grant ($7,640,000)</w:t>
        </w:r>
        <w:r w:rsidR="0025716E">
          <w:rPr>
            <w:noProof/>
            <w:webHidden/>
          </w:rPr>
          <w:tab/>
        </w:r>
        <w:r w:rsidR="0025716E">
          <w:rPr>
            <w:noProof/>
            <w:webHidden/>
          </w:rPr>
          <w:fldChar w:fldCharType="begin"/>
        </w:r>
        <w:r w:rsidR="0025716E">
          <w:rPr>
            <w:noProof/>
            <w:webHidden/>
          </w:rPr>
          <w:instrText xml:space="preserve"> PAGEREF _Toc230351715 \h </w:instrText>
        </w:r>
        <w:r w:rsidR="0025716E">
          <w:rPr>
            <w:noProof/>
            <w:webHidden/>
          </w:rPr>
        </w:r>
        <w:r w:rsidR="0025716E">
          <w:rPr>
            <w:noProof/>
            <w:webHidden/>
          </w:rPr>
          <w:fldChar w:fldCharType="separate"/>
        </w:r>
        <w:r w:rsidR="00702893">
          <w:rPr>
            <w:noProof/>
            <w:webHidden/>
          </w:rPr>
          <w:t>7</w:t>
        </w:r>
        <w:r w:rsidR="0025716E">
          <w:rPr>
            <w:noProof/>
            <w:webHidden/>
          </w:rPr>
          <w:fldChar w:fldCharType="end"/>
        </w:r>
      </w:hyperlink>
    </w:p>
    <w:p w14:paraId="059C7873" w14:textId="06D367B9" w:rsidR="0025716E" w:rsidRDefault="005C4865" w:rsidP="0025716E">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1716" w:history="1">
        <w:r w:rsidR="0025716E" w:rsidRPr="00D71BB4">
          <w:rPr>
            <w:rStyle w:val="Hyperlink"/>
            <w:noProof/>
          </w:rPr>
          <w:t>Table 3. DWSRF EC Grant Funding Status</w:t>
        </w:r>
        <w:r w:rsidR="0025716E">
          <w:rPr>
            <w:noProof/>
            <w:webHidden/>
          </w:rPr>
          <w:tab/>
        </w:r>
        <w:r w:rsidR="0025716E">
          <w:rPr>
            <w:noProof/>
            <w:webHidden/>
          </w:rPr>
          <w:fldChar w:fldCharType="begin"/>
        </w:r>
        <w:r w:rsidR="0025716E">
          <w:rPr>
            <w:noProof/>
            <w:webHidden/>
          </w:rPr>
          <w:instrText xml:space="preserve"> PAGEREF _Toc230351716 \h </w:instrText>
        </w:r>
        <w:r w:rsidR="0025716E">
          <w:rPr>
            <w:noProof/>
            <w:webHidden/>
          </w:rPr>
        </w:r>
        <w:r w:rsidR="0025716E">
          <w:rPr>
            <w:noProof/>
            <w:webHidden/>
          </w:rPr>
          <w:fldChar w:fldCharType="separate"/>
        </w:r>
        <w:r w:rsidR="00702893">
          <w:rPr>
            <w:noProof/>
            <w:webHidden/>
          </w:rPr>
          <w:t>8</w:t>
        </w:r>
        <w:r w:rsidR="0025716E">
          <w:rPr>
            <w:noProof/>
            <w:webHidden/>
          </w:rPr>
          <w:fldChar w:fldCharType="end"/>
        </w:r>
      </w:hyperlink>
    </w:p>
    <w:p w14:paraId="5EC58D9F" w14:textId="62787CA2" w:rsidR="0025716E" w:rsidRDefault="005C4865" w:rsidP="0025716E">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1717" w:history="1">
        <w:r w:rsidR="0025716E" w:rsidRPr="00D71BB4">
          <w:rPr>
            <w:rStyle w:val="Hyperlink"/>
            <w:noProof/>
          </w:rPr>
          <w:t>Table 4. Amounts Available to Transfer between SRF Programs for the EC Grant</w:t>
        </w:r>
        <w:r w:rsidR="0025716E">
          <w:rPr>
            <w:noProof/>
            <w:webHidden/>
          </w:rPr>
          <w:tab/>
        </w:r>
        <w:r w:rsidR="0025716E">
          <w:rPr>
            <w:noProof/>
            <w:webHidden/>
          </w:rPr>
          <w:fldChar w:fldCharType="begin"/>
        </w:r>
        <w:r w:rsidR="0025716E">
          <w:rPr>
            <w:noProof/>
            <w:webHidden/>
          </w:rPr>
          <w:instrText xml:space="preserve"> PAGEREF _Toc230351717 \h </w:instrText>
        </w:r>
        <w:r w:rsidR="0025716E">
          <w:rPr>
            <w:noProof/>
            <w:webHidden/>
          </w:rPr>
        </w:r>
        <w:r w:rsidR="0025716E">
          <w:rPr>
            <w:noProof/>
            <w:webHidden/>
          </w:rPr>
          <w:fldChar w:fldCharType="separate"/>
        </w:r>
        <w:r w:rsidR="00702893">
          <w:rPr>
            <w:noProof/>
            <w:webHidden/>
          </w:rPr>
          <w:t>9</w:t>
        </w:r>
        <w:r w:rsidR="0025716E">
          <w:rPr>
            <w:noProof/>
            <w:webHidden/>
          </w:rPr>
          <w:fldChar w:fldCharType="end"/>
        </w:r>
      </w:hyperlink>
    </w:p>
    <w:p w14:paraId="1A09C549" w14:textId="5BD6EF4B" w:rsidR="00575643" w:rsidRPr="00575643" w:rsidRDefault="004C5DB3" w:rsidP="0025716E">
      <w:pPr>
        <w:pStyle w:val="TOC1"/>
        <w:spacing w:after="120"/>
        <w:sectPr w:rsidR="00575643" w:rsidRPr="00575643" w:rsidSect="00572EC8">
          <w:headerReference w:type="even" r:id="rId16"/>
          <w:headerReference w:type="default" r:id="rId17"/>
          <w:footerReference w:type="default" r:id="rId18"/>
          <w:headerReference w:type="first" r:id="rId19"/>
          <w:pgSz w:w="12240" w:h="15840" w:code="1"/>
          <w:pgMar w:top="1440" w:right="1440" w:bottom="1440" w:left="1440" w:header="720" w:footer="720" w:gutter="0"/>
          <w:pgNumType w:fmt="lowerRoman" w:start="1"/>
          <w:cols w:space="720"/>
          <w:docGrid w:linePitch="299"/>
        </w:sectPr>
      </w:pPr>
      <w:r>
        <w:rPr>
          <w:noProof/>
        </w:rPr>
        <w:fldChar w:fldCharType="end"/>
      </w:r>
    </w:p>
    <w:p w14:paraId="03E2509C" w14:textId="3CE51AA1" w:rsidR="00410B53" w:rsidRDefault="00410B53" w:rsidP="00126FE1">
      <w:pPr>
        <w:pStyle w:val="Heading1"/>
      </w:pPr>
      <w:bookmarkStart w:id="53" w:name="_Toc136072092"/>
      <w:bookmarkStart w:id="54" w:name="_Toc387672737"/>
      <w:bookmarkStart w:id="55" w:name="_Toc230351771"/>
      <w:r>
        <w:lastRenderedPageBreak/>
        <w:t>I</w:t>
      </w:r>
      <w:r w:rsidR="003F10F2">
        <w:t>ntroduction</w:t>
      </w:r>
      <w:bookmarkEnd w:id="53"/>
      <w:bookmarkEnd w:id="54"/>
      <w:bookmarkEnd w:id="55"/>
    </w:p>
    <w:p w14:paraId="1C3B2CA8" w14:textId="2E419A20" w:rsidR="00410B53" w:rsidRDefault="004B6BFE" w:rsidP="00C16DB9">
      <w:r w:rsidRPr="004B6BFE">
        <w:t>On November 15, 2021, President Biden signed into law the Bipartisan Infrastructure Law (BIL)</w:t>
      </w:r>
      <w:r w:rsidR="00460F72">
        <w:t xml:space="preserve"> also referred to as the Infrastructure Investment and Jobs Act of 2021 (IIJA)</w:t>
      </w:r>
      <w:r w:rsidRPr="004B6BFE">
        <w:t xml:space="preserve">. </w:t>
      </w:r>
      <w:r w:rsidR="009F0BE9">
        <w:t xml:space="preserve">The </w:t>
      </w:r>
      <w:r w:rsidRPr="004B6BFE">
        <w:t xml:space="preserve">BIL appropriates capitalization grants to be administered by the Drinking Water State Revolving Fund (DWSRF) including the </w:t>
      </w:r>
      <w:r w:rsidR="009F0BE9">
        <w:t>Emerging Contaminant (EC)</w:t>
      </w:r>
      <w:r w:rsidRPr="004B6BFE">
        <w:t xml:space="preserve"> Capitalization Grant. Per the BIL, this grant will be made available to states to apply for on an annual basis for five years.</w:t>
      </w:r>
    </w:p>
    <w:p w14:paraId="252CD8CD" w14:textId="77777777" w:rsidR="00410B53" w:rsidRPr="00C16DB9" w:rsidRDefault="00410B53" w:rsidP="00C16DB9"/>
    <w:p w14:paraId="79EC82B1" w14:textId="3D1C9757" w:rsidR="004B6BFE" w:rsidRPr="00C93106" w:rsidRDefault="004B6BFE" w:rsidP="004B6BFE">
      <w:r w:rsidRPr="00C93106">
        <w:t>The Montana Department of Environmental Quality (DEQ)</w:t>
      </w:r>
      <w:r>
        <w:t xml:space="preserve"> </w:t>
      </w:r>
      <w:r w:rsidRPr="00C93106">
        <w:t xml:space="preserve">is </w:t>
      </w:r>
      <w:r>
        <w:t>submitting this</w:t>
      </w:r>
      <w:r w:rsidRPr="00C93106">
        <w:t xml:space="preserve"> DWSRF</w:t>
      </w:r>
      <w:r>
        <w:t xml:space="preserve"> </w:t>
      </w:r>
      <w:bookmarkStart w:id="56" w:name="_Hlk135228422"/>
      <w:r>
        <w:t>EC</w:t>
      </w:r>
      <w:bookmarkEnd w:id="56"/>
      <w:r>
        <w:t xml:space="preserve"> </w:t>
      </w:r>
      <w:r w:rsidRPr="00C93106">
        <w:t xml:space="preserve">Intended Use Plan (IUP) </w:t>
      </w:r>
      <w:r>
        <w:t>as part of the EC grant application</w:t>
      </w:r>
      <w:r w:rsidRPr="00C93106">
        <w:t xml:space="preserve">. </w:t>
      </w:r>
      <w:r w:rsidRPr="007F6313">
        <w:t xml:space="preserve">For </w:t>
      </w:r>
      <w:r>
        <w:t>S</w:t>
      </w:r>
      <w:r w:rsidRPr="007F6313">
        <w:t xml:space="preserve">tate </w:t>
      </w:r>
      <w:r>
        <w:t>F</w:t>
      </w:r>
      <w:r w:rsidRPr="007F6313">
        <w:t xml:space="preserve">iscal </w:t>
      </w:r>
      <w:r>
        <w:t>Y</w:t>
      </w:r>
      <w:r w:rsidRPr="007F6313">
        <w:t>ear</w:t>
      </w:r>
      <w:r>
        <w:t xml:space="preserve"> (SFY)</w:t>
      </w:r>
      <w:r w:rsidRPr="007F6313">
        <w:t xml:space="preserve"> </w:t>
      </w:r>
      <w:r w:rsidR="00F231DF" w:rsidRPr="007F6313">
        <w:t>202</w:t>
      </w:r>
      <w:r w:rsidR="00F231DF">
        <w:t>7</w:t>
      </w:r>
      <w:r w:rsidRPr="00C93106">
        <w:t xml:space="preserve">, </w:t>
      </w:r>
      <w:r>
        <w:t xml:space="preserve">the state of </w:t>
      </w:r>
      <w:r w:rsidRPr="00C93106">
        <w:t xml:space="preserve">Montana </w:t>
      </w:r>
      <w:r>
        <w:t>is applying for the total amount allotted under the EC g</w:t>
      </w:r>
      <w:r w:rsidRPr="00C93106">
        <w:t xml:space="preserve">rant </w:t>
      </w:r>
      <w:r>
        <w:t xml:space="preserve">for Federal Fiscal Year (FFY) </w:t>
      </w:r>
      <w:r w:rsidR="00F231DF">
        <w:t xml:space="preserve">2026 </w:t>
      </w:r>
      <w:r>
        <w:t>which is</w:t>
      </w:r>
      <w:r w:rsidRPr="00186FCD">
        <w:t xml:space="preserve"> </w:t>
      </w:r>
      <w:r>
        <w:t>$</w:t>
      </w:r>
      <w:r w:rsidR="002F4CE5">
        <w:t>7,640,000</w:t>
      </w:r>
      <w:r>
        <w:t>.</w:t>
      </w:r>
      <w:r w:rsidRPr="00C93106">
        <w:t xml:space="preserve"> </w:t>
      </w:r>
    </w:p>
    <w:p w14:paraId="015EC108" w14:textId="77777777" w:rsidR="004B6BFE" w:rsidRPr="00C93106" w:rsidRDefault="004B6BFE" w:rsidP="004B6BFE"/>
    <w:p w14:paraId="38724922" w14:textId="77B82F27" w:rsidR="004E002B" w:rsidRDefault="004E002B" w:rsidP="004E002B">
      <w:pPr>
        <w:pStyle w:val="BodyText"/>
        <w:ind w:right="69"/>
        <w:rPr>
          <w:spacing w:val="-1"/>
        </w:rPr>
      </w:pPr>
      <w:r>
        <w:t xml:space="preserve">The BIL stipulates that states administer the EC grant funds through the existing </w:t>
      </w:r>
      <w:r w:rsidRPr="0098757E">
        <w:t xml:space="preserve">State Revolving Fund (SRF) </w:t>
      </w:r>
      <w:r>
        <w:t xml:space="preserve">programs. DEQ is responsible for the oversight of the </w:t>
      </w:r>
      <w:bookmarkStart w:id="57" w:name="_Hlk123828190"/>
      <w:r>
        <w:t xml:space="preserve">SRF </w:t>
      </w:r>
      <w:bookmarkEnd w:id="57"/>
      <w:r>
        <w:t xml:space="preserve">program, and their role consists primarily of providing technical expertise while Department of Natural Resources (DNRC) provides financial administration of project </w:t>
      </w:r>
      <w:bookmarkStart w:id="58" w:name="_Hlk134706236"/>
      <w:r>
        <w:t>loans. T</w:t>
      </w:r>
      <w:r w:rsidR="004B6BFE">
        <w:t>he</w:t>
      </w:r>
      <w:r w:rsidR="004B6BFE">
        <w:rPr>
          <w:spacing w:val="-1"/>
        </w:rPr>
        <w:t xml:space="preserve"> BIL </w:t>
      </w:r>
      <w:r>
        <w:rPr>
          <w:spacing w:val="-1"/>
        </w:rPr>
        <w:t xml:space="preserve">also </w:t>
      </w:r>
      <w:r w:rsidR="004B6BFE">
        <w:rPr>
          <w:spacing w:val="-1"/>
        </w:rPr>
        <w:t>stipulate</w:t>
      </w:r>
      <w:r>
        <w:rPr>
          <w:spacing w:val="-1"/>
        </w:rPr>
        <w:t>s</w:t>
      </w:r>
      <w:r w:rsidR="004B6BFE">
        <w:rPr>
          <w:spacing w:val="-1"/>
        </w:rPr>
        <w:t xml:space="preserve"> that </w:t>
      </w:r>
      <w:r>
        <w:rPr>
          <w:spacing w:val="-1"/>
        </w:rPr>
        <w:t>100% of the EC grant funds be provided as principal forgiveness</w:t>
      </w:r>
      <w:r w:rsidR="00C41CF6">
        <w:rPr>
          <w:spacing w:val="-1"/>
        </w:rPr>
        <w:t xml:space="preserve"> or grant. Montana will provide the funds as principal forgiveness</w:t>
      </w:r>
      <w:r>
        <w:rPr>
          <w:spacing w:val="-1"/>
        </w:rPr>
        <w:t>. Per the Safe Drinking Water Act (SDWA), states must direct at least 25% of the funds to disadvantaged communities or public water systems serving fewer than 25,000 persons.</w:t>
      </w:r>
      <w:bookmarkEnd w:id="58"/>
    </w:p>
    <w:p w14:paraId="4292CB12" w14:textId="77777777" w:rsidR="004E002B" w:rsidRDefault="004E002B" w:rsidP="004E002B">
      <w:pPr>
        <w:pStyle w:val="BodyText"/>
        <w:ind w:right="69"/>
        <w:rPr>
          <w:spacing w:val="-1"/>
        </w:rPr>
      </w:pPr>
    </w:p>
    <w:p w14:paraId="255554E7" w14:textId="7EFCE4CF" w:rsidR="001E2426" w:rsidRDefault="001E2426" w:rsidP="004E002B">
      <w:pPr>
        <w:pStyle w:val="BodyText"/>
        <w:ind w:right="69"/>
        <w:rPr>
          <w:bCs/>
        </w:rPr>
      </w:pPr>
      <w:r>
        <w:t xml:space="preserve">The </w:t>
      </w:r>
      <w:r w:rsidR="004B6BFE">
        <w:t>DWSRF</w:t>
      </w:r>
      <w:r w:rsidR="004B6BFE">
        <w:rPr>
          <w:spacing w:val="-4"/>
        </w:rPr>
        <w:t xml:space="preserve"> </w:t>
      </w:r>
      <w:r w:rsidR="004B6BFE">
        <w:t>program</w:t>
      </w:r>
      <w:r w:rsidR="004B6BFE">
        <w:rPr>
          <w:spacing w:val="-4"/>
        </w:rPr>
        <w:t xml:space="preserve"> will </w:t>
      </w:r>
      <w:r w:rsidR="004B6BFE">
        <w:t>offer</w:t>
      </w:r>
      <w:r w:rsidR="004B6BFE">
        <w:rPr>
          <w:spacing w:val="-5"/>
        </w:rPr>
        <w:t xml:space="preserve"> </w:t>
      </w:r>
      <w:r>
        <w:rPr>
          <w:spacing w:val="-5"/>
        </w:rPr>
        <w:t>loans that will be 100% forgiven for projects that are DWSRF-eligible with the purpose of addressing emerging contaminants in drinking water.</w:t>
      </w:r>
      <w:r w:rsidR="004B6BFE">
        <w:t xml:space="preserve"> </w:t>
      </w:r>
      <w:bookmarkStart w:id="59" w:name="_Hlk134698774"/>
      <w:r>
        <w:t xml:space="preserve">Emerging contaminants are defined as any contaminant in any of </w:t>
      </w:r>
      <w:r w:rsidR="00940DF1">
        <w:t>the Environmental Protection Agency’s (</w:t>
      </w:r>
      <w:r>
        <w:t>EPA’s</w:t>
      </w:r>
      <w:r w:rsidR="00940DF1">
        <w:t>)</w:t>
      </w:r>
      <w:r>
        <w:t xml:space="preserve"> Contaminant Candidate Lists</w:t>
      </w:r>
      <w:r w:rsidR="00374F5D">
        <w:t xml:space="preserve"> (CCLs)</w:t>
      </w:r>
      <w:r>
        <w:t xml:space="preserve"> (i.e., CCLs 1-5) with an emphasis on perfluoroalkyl and polyfluoroalkyl substances (referred to as PFAS). </w:t>
      </w:r>
      <w:bookmarkEnd w:id="59"/>
      <w:r w:rsidR="004B6BFE" w:rsidRPr="00A5418B">
        <w:rPr>
          <w:b/>
          <w:bCs/>
        </w:rPr>
        <w:t>Section 5</w:t>
      </w:r>
      <w:r w:rsidR="004B6BFE">
        <w:t xml:space="preserve"> provides a discussion of eligible </w:t>
      </w:r>
      <w:r>
        <w:t>EC</w:t>
      </w:r>
      <w:r w:rsidR="004B6BFE">
        <w:t xml:space="preserve"> projects and activities </w:t>
      </w:r>
      <w:r>
        <w:t>that can be funded with t</w:t>
      </w:r>
      <w:r w:rsidR="004B6BFE">
        <w:t xml:space="preserve">he </w:t>
      </w:r>
      <w:r>
        <w:t>EC</w:t>
      </w:r>
      <w:r w:rsidR="004B6BFE">
        <w:t xml:space="preserve"> grant</w:t>
      </w:r>
      <w:r w:rsidR="004B6BFE" w:rsidRPr="006D3B1F">
        <w:rPr>
          <w:bCs/>
        </w:rPr>
        <w:t>.</w:t>
      </w:r>
      <w:r w:rsidR="004B6BFE">
        <w:rPr>
          <w:bCs/>
        </w:rPr>
        <w:t xml:space="preserve"> </w:t>
      </w:r>
      <w:r w:rsidR="00BC5B1D">
        <w:rPr>
          <w:bCs/>
        </w:rPr>
        <w:t>If a project is not designed and/or constructed in accordance with all DWSRF EC grant requirements, repayment of the loan according to the bond terms will be required.</w:t>
      </w:r>
    </w:p>
    <w:p w14:paraId="7E5ABE15" w14:textId="77777777" w:rsidR="001E2426" w:rsidRDefault="001E2426" w:rsidP="004E002B">
      <w:pPr>
        <w:pStyle w:val="BodyText"/>
        <w:ind w:right="69"/>
        <w:rPr>
          <w:bCs/>
        </w:rPr>
      </w:pPr>
    </w:p>
    <w:p w14:paraId="068A9424" w14:textId="0CE6BE5F" w:rsidR="004B6BFE" w:rsidRDefault="001E2426" w:rsidP="003C6B0E">
      <w:pPr>
        <w:pStyle w:val="BodyText"/>
        <w:ind w:right="69"/>
      </w:pPr>
      <w:proofErr w:type="gramStart"/>
      <w:r>
        <w:rPr>
          <w:bCs/>
        </w:rPr>
        <w:t>S</w:t>
      </w:r>
      <w:r w:rsidR="004B6BFE">
        <w:rPr>
          <w:bCs/>
        </w:rPr>
        <w:t>imilar to</w:t>
      </w:r>
      <w:proofErr w:type="gramEnd"/>
      <w:r w:rsidR="004B6BFE">
        <w:rPr>
          <w:bCs/>
        </w:rPr>
        <w:t xml:space="preserve"> the DWSRF base grant, the </w:t>
      </w:r>
      <w:r>
        <w:rPr>
          <w:bCs/>
        </w:rPr>
        <w:t>EC</w:t>
      </w:r>
      <w:r w:rsidR="004B6BFE">
        <w:rPr>
          <w:bCs/>
        </w:rPr>
        <w:t xml:space="preserve"> grant also includes set-aside accounts. Funds from these accounts can be used to administer</w:t>
      </w:r>
      <w:r w:rsidR="004B6BFE">
        <w:t xml:space="preserve"> the </w:t>
      </w:r>
      <w:r>
        <w:t>EC</w:t>
      </w:r>
      <w:r w:rsidR="004B6BFE">
        <w:t xml:space="preserve"> grant, provide technical</w:t>
      </w:r>
      <w:r w:rsidR="004B6BFE">
        <w:rPr>
          <w:spacing w:val="-2"/>
        </w:rPr>
        <w:t xml:space="preserve"> </w:t>
      </w:r>
      <w:r w:rsidR="004B6BFE">
        <w:t>assistance</w:t>
      </w:r>
      <w:r w:rsidR="004B6BFE">
        <w:rPr>
          <w:spacing w:val="-2"/>
        </w:rPr>
        <w:t xml:space="preserve"> </w:t>
      </w:r>
      <w:r w:rsidR="004B6BFE">
        <w:t xml:space="preserve">to small water </w:t>
      </w:r>
      <w:r w:rsidR="00EB54EA">
        <w:t xml:space="preserve">systems, </w:t>
      </w:r>
      <w:r w:rsidR="00061513">
        <w:t xml:space="preserve">conduct </w:t>
      </w:r>
      <w:r w:rsidR="00EB54EA">
        <w:t>source</w:t>
      </w:r>
      <w:r>
        <w:t xml:space="preserve"> water protection (SWP) activities, and assistance with administration of activities in the Public Water Supply Program (PWSP)</w:t>
      </w:r>
      <w:r w:rsidR="004B6BFE">
        <w:t xml:space="preserve">. </w:t>
      </w:r>
      <w:r w:rsidR="006F1463">
        <w:t xml:space="preserve">In SFY </w:t>
      </w:r>
      <w:r w:rsidR="00F231DF">
        <w:t>2027</w:t>
      </w:r>
      <w:r w:rsidR="006F1463">
        <w:t xml:space="preserve">, </w:t>
      </w:r>
      <w:r w:rsidR="007A2429">
        <w:t xml:space="preserve">Montana </w:t>
      </w:r>
      <w:r w:rsidR="006F1463">
        <w:t xml:space="preserve">intends to administer the EC grant using </w:t>
      </w:r>
      <w:r w:rsidR="003C6B0E">
        <w:t xml:space="preserve">administrative set-asides. </w:t>
      </w:r>
      <w:proofErr w:type="gramStart"/>
      <w:r w:rsidR="006F1463">
        <w:t>Set-asides</w:t>
      </w:r>
      <w:proofErr w:type="gramEnd"/>
      <w:r w:rsidR="006F1463">
        <w:t xml:space="preserve"> are discussed in more detail in </w:t>
      </w:r>
      <w:r w:rsidR="006F1463" w:rsidRPr="006F1463">
        <w:rPr>
          <w:b/>
          <w:bCs/>
        </w:rPr>
        <w:t>Section 12.0</w:t>
      </w:r>
      <w:r w:rsidR="006F1463">
        <w:t>.</w:t>
      </w:r>
    </w:p>
    <w:p w14:paraId="7D7B1F26" w14:textId="77777777" w:rsidR="004B6BFE" w:rsidRDefault="004B6BFE" w:rsidP="004B6BFE">
      <w:pPr>
        <w:pStyle w:val="BodyText"/>
        <w:ind w:right="166"/>
      </w:pPr>
    </w:p>
    <w:p w14:paraId="7766E9BA" w14:textId="77777777" w:rsidR="004B6BFE" w:rsidRDefault="004B6BFE" w:rsidP="004B6BFE">
      <w:pPr>
        <w:pStyle w:val="BodyText"/>
        <w:ind w:right="166"/>
      </w:pPr>
      <w:r>
        <w:t>This IUP contains the following elements:</w:t>
      </w:r>
    </w:p>
    <w:p w14:paraId="422182F9" w14:textId="77777777" w:rsidR="004B6BFE" w:rsidRDefault="004B6BFE" w:rsidP="004B6BFE">
      <w:pPr>
        <w:pStyle w:val="BodyText"/>
        <w:spacing w:before="12"/>
        <w:rPr>
          <w:sz w:val="21"/>
        </w:rPr>
      </w:pPr>
    </w:p>
    <w:p w14:paraId="1AAA74C8" w14:textId="029FB41D" w:rsidR="004B6BFE" w:rsidRDefault="004B6BFE" w:rsidP="00B62117">
      <w:pPr>
        <w:pStyle w:val="ListParagraph"/>
        <w:widowControl w:val="0"/>
        <w:numPr>
          <w:ilvl w:val="0"/>
          <w:numId w:val="20"/>
        </w:numPr>
        <w:tabs>
          <w:tab w:val="left" w:pos="840"/>
        </w:tabs>
        <w:autoSpaceDE w:val="0"/>
        <w:autoSpaceDN w:val="0"/>
        <w:ind w:left="648"/>
        <w:contextualSpacing w:val="0"/>
      </w:pPr>
      <w:r>
        <w:t>Short</w:t>
      </w:r>
      <w:r>
        <w:rPr>
          <w:spacing w:val="-3"/>
        </w:rPr>
        <w:t xml:space="preserve"> and </w:t>
      </w:r>
      <w:r>
        <w:t>Long-term</w:t>
      </w:r>
      <w:r w:rsidRPr="0060345B">
        <w:rPr>
          <w:spacing w:val="-1"/>
        </w:rPr>
        <w:t xml:space="preserve"> </w:t>
      </w:r>
      <w:r>
        <w:t>goals</w:t>
      </w:r>
      <w:r w:rsidRPr="0060345B">
        <w:rPr>
          <w:spacing w:val="-4"/>
        </w:rPr>
        <w:t xml:space="preserve"> </w:t>
      </w:r>
      <w:r>
        <w:t>of</w:t>
      </w:r>
      <w:r w:rsidRPr="0060345B">
        <w:rPr>
          <w:spacing w:val="-2"/>
        </w:rPr>
        <w:t xml:space="preserve"> </w:t>
      </w:r>
      <w:r>
        <w:t>the</w:t>
      </w:r>
      <w:r w:rsidRPr="0060345B">
        <w:rPr>
          <w:spacing w:val="-3"/>
        </w:rPr>
        <w:t xml:space="preserve"> </w:t>
      </w:r>
      <w:r w:rsidRPr="0060345B">
        <w:rPr>
          <w:spacing w:val="-2"/>
        </w:rPr>
        <w:t>program</w:t>
      </w:r>
      <w:r>
        <w:rPr>
          <w:spacing w:val="-2"/>
        </w:rPr>
        <w:t xml:space="preserve"> pertaining to </w:t>
      </w:r>
      <w:r w:rsidR="003C6B0E">
        <w:rPr>
          <w:spacing w:val="-2"/>
        </w:rPr>
        <w:t>ECs</w:t>
      </w:r>
      <w:r w:rsidRPr="0060345B">
        <w:rPr>
          <w:spacing w:val="-2"/>
        </w:rPr>
        <w:t>.</w:t>
      </w:r>
    </w:p>
    <w:p w14:paraId="184EECD5" w14:textId="0E4AA929" w:rsidR="004B6BFE" w:rsidRPr="000C6DF1" w:rsidRDefault="003C6B0E" w:rsidP="00B62117">
      <w:pPr>
        <w:pStyle w:val="ListParagraph"/>
        <w:widowControl w:val="0"/>
        <w:numPr>
          <w:ilvl w:val="0"/>
          <w:numId w:val="20"/>
        </w:numPr>
        <w:tabs>
          <w:tab w:val="left" w:pos="840"/>
        </w:tabs>
        <w:autoSpaceDE w:val="0"/>
        <w:autoSpaceDN w:val="0"/>
        <w:ind w:left="648"/>
        <w:contextualSpacing w:val="0"/>
      </w:pPr>
      <w:r>
        <w:t>EC</w:t>
      </w:r>
      <w:r w:rsidR="004B6BFE">
        <w:t xml:space="preserve"> project</w:t>
      </w:r>
      <w:r w:rsidR="004B6BFE">
        <w:rPr>
          <w:spacing w:val="-4"/>
        </w:rPr>
        <w:t xml:space="preserve"> </w:t>
      </w:r>
      <w:r w:rsidR="004B6BFE">
        <w:t>priority</w:t>
      </w:r>
      <w:r w:rsidR="004B6BFE">
        <w:rPr>
          <w:spacing w:val="-2"/>
        </w:rPr>
        <w:t xml:space="preserve"> </w:t>
      </w:r>
      <w:r w:rsidR="004B6BFE">
        <w:t>list,</w:t>
      </w:r>
      <w:r w:rsidR="004B6BFE">
        <w:rPr>
          <w:spacing w:val="-3"/>
        </w:rPr>
        <w:t xml:space="preserve"> </w:t>
      </w:r>
      <w:r w:rsidR="004B6BFE">
        <w:t>including</w:t>
      </w:r>
      <w:r w:rsidR="004B6BFE">
        <w:rPr>
          <w:spacing w:val="-3"/>
        </w:rPr>
        <w:t xml:space="preserve"> </w:t>
      </w:r>
      <w:r w:rsidR="004B6BFE">
        <w:t>description</w:t>
      </w:r>
      <w:r w:rsidR="004B6BFE">
        <w:rPr>
          <w:spacing w:val="-4"/>
        </w:rPr>
        <w:t xml:space="preserve"> </w:t>
      </w:r>
      <w:r w:rsidR="004B6BFE">
        <w:t>and</w:t>
      </w:r>
      <w:r w:rsidR="004B6BFE">
        <w:rPr>
          <w:spacing w:val="-5"/>
        </w:rPr>
        <w:t xml:space="preserve"> </w:t>
      </w:r>
      <w:r w:rsidR="004B6BFE">
        <w:t>size</w:t>
      </w:r>
      <w:r w:rsidR="004B6BFE">
        <w:rPr>
          <w:spacing w:val="-5"/>
        </w:rPr>
        <w:t xml:space="preserve"> </w:t>
      </w:r>
      <w:r w:rsidR="004B6BFE">
        <w:t>of</w:t>
      </w:r>
      <w:r w:rsidR="004B6BFE">
        <w:rPr>
          <w:spacing w:val="-2"/>
        </w:rPr>
        <w:t xml:space="preserve"> community.</w:t>
      </w:r>
    </w:p>
    <w:p w14:paraId="26E0687E" w14:textId="60D21ACE" w:rsidR="004B6BFE" w:rsidRDefault="003C6B0E" w:rsidP="00B62117">
      <w:pPr>
        <w:pStyle w:val="ListParagraph"/>
        <w:widowControl w:val="0"/>
        <w:numPr>
          <w:ilvl w:val="0"/>
          <w:numId w:val="20"/>
        </w:numPr>
        <w:tabs>
          <w:tab w:val="left" w:pos="840"/>
        </w:tabs>
        <w:autoSpaceDE w:val="0"/>
        <w:autoSpaceDN w:val="0"/>
        <w:ind w:left="648" w:right="592"/>
        <w:contextualSpacing w:val="0"/>
      </w:pPr>
      <w:r>
        <w:rPr>
          <w:spacing w:val="-2"/>
        </w:rPr>
        <w:t>EC</w:t>
      </w:r>
      <w:r w:rsidR="004B6BFE">
        <w:rPr>
          <w:spacing w:val="-2"/>
        </w:rPr>
        <w:t xml:space="preserve"> e</w:t>
      </w:r>
      <w:r w:rsidR="004B6BFE" w:rsidRPr="0060345B">
        <w:rPr>
          <w:spacing w:val="-2"/>
        </w:rPr>
        <w:t xml:space="preserve">ligible systems and </w:t>
      </w:r>
      <w:r w:rsidR="00610AE6">
        <w:rPr>
          <w:spacing w:val="-2"/>
        </w:rPr>
        <w:t>projects</w:t>
      </w:r>
      <w:r w:rsidR="004B6BFE" w:rsidRPr="0060345B">
        <w:rPr>
          <w:spacing w:val="-2"/>
        </w:rPr>
        <w:t>.</w:t>
      </w:r>
      <w:r w:rsidR="004B6BFE" w:rsidRPr="0060345B">
        <w:t xml:space="preserve"> </w:t>
      </w:r>
    </w:p>
    <w:p w14:paraId="0A157DB2" w14:textId="2D9A0BD7" w:rsidR="004B6BFE" w:rsidRDefault="004B6BFE" w:rsidP="00B62117">
      <w:pPr>
        <w:pStyle w:val="ListParagraph"/>
        <w:widowControl w:val="0"/>
        <w:numPr>
          <w:ilvl w:val="0"/>
          <w:numId w:val="20"/>
        </w:numPr>
        <w:tabs>
          <w:tab w:val="left" w:pos="840"/>
        </w:tabs>
        <w:autoSpaceDE w:val="0"/>
        <w:autoSpaceDN w:val="0"/>
        <w:ind w:left="648" w:right="592"/>
        <w:contextualSpacing w:val="0"/>
      </w:pPr>
      <w:r>
        <w:t>Description</w:t>
      </w:r>
      <w:r w:rsidRPr="0060345B">
        <w:rPr>
          <w:spacing w:val="-5"/>
        </w:rPr>
        <w:t xml:space="preserve"> </w:t>
      </w:r>
      <w:r>
        <w:t>of</w:t>
      </w:r>
      <w:r>
        <w:rPr>
          <w:spacing w:val="-3"/>
        </w:rPr>
        <w:t xml:space="preserve"> how the program defines a </w:t>
      </w:r>
      <w:r>
        <w:t>disadvantaged</w:t>
      </w:r>
      <w:r w:rsidRPr="0060345B">
        <w:rPr>
          <w:spacing w:val="-5"/>
        </w:rPr>
        <w:t xml:space="preserve"> </w:t>
      </w:r>
      <w:r>
        <w:t>system</w:t>
      </w:r>
      <w:r w:rsidRPr="0060345B">
        <w:rPr>
          <w:spacing w:val="-1"/>
        </w:rPr>
        <w:t xml:space="preserve"> </w:t>
      </w:r>
      <w:r>
        <w:rPr>
          <w:spacing w:val="-1"/>
        </w:rPr>
        <w:t xml:space="preserve">for the </w:t>
      </w:r>
      <w:r w:rsidR="003C6B0E">
        <w:rPr>
          <w:spacing w:val="-1"/>
        </w:rPr>
        <w:t>EC</w:t>
      </w:r>
      <w:r>
        <w:rPr>
          <w:spacing w:val="-1"/>
        </w:rPr>
        <w:t xml:space="preserve"> grant</w:t>
      </w:r>
      <w:r>
        <w:t>.</w:t>
      </w:r>
    </w:p>
    <w:p w14:paraId="5E4C1EC8" w14:textId="4F52AC7D" w:rsidR="004B6BFE" w:rsidRDefault="004B6BFE" w:rsidP="00B62117">
      <w:pPr>
        <w:pStyle w:val="ListParagraph"/>
        <w:widowControl w:val="0"/>
        <w:numPr>
          <w:ilvl w:val="0"/>
          <w:numId w:val="20"/>
        </w:numPr>
        <w:tabs>
          <w:tab w:val="left" w:pos="840"/>
        </w:tabs>
        <w:autoSpaceDE w:val="0"/>
        <w:autoSpaceDN w:val="0"/>
        <w:ind w:left="648" w:right="126"/>
        <w:contextualSpacing w:val="0"/>
      </w:pPr>
      <w:r>
        <w:t xml:space="preserve">Financial status of the </w:t>
      </w:r>
      <w:r w:rsidR="003C6B0E">
        <w:t>EC</w:t>
      </w:r>
      <w:r>
        <w:t xml:space="preserve"> grant.</w:t>
      </w:r>
    </w:p>
    <w:p w14:paraId="1EA8D7DA" w14:textId="70FC6625" w:rsidR="006F1463" w:rsidRDefault="006F1463" w:rsidP="00B62117">
      <w:pPr>
        <w:pStyle w:val="ListParagraph"/>
        <w:widowControl w:val="0"/>
        <w:numPr>
          <w:ilvl w:val="0"/>
          <w:numId w:val="20"/>
        </w:numPr>
        <w:tabs>
          <w:tab w:val="left" w:pos="840"/>
        </w:tabs>
        <w:autoSpaceDE w:val="0"/>
        <w:autoSpaceDN w:val="0"/>
        <w:ind w:left="648" w:right="126"/>
        <w:contextualSpacing w:val="0"/>
      </w:pPr>
      <w:r w:rsidRPr="00C16DB9">
        <w:t>Description</w:t>
      </w:r>
      <w:r w:rsidRPr="00B066E0">
        <w:t xml:space="preserve"> of the set-aside activities and percentage of funds that will be used from the </w:t>
      </w:r>
      <w:r>
        <w:t>DW</w:t>
      </w:r>
      <w:r w:rsidRPr="00B066E0">
        <w:t>SRF capitalization grant</w:t>
      </w:r>
      <w:r>
        <w:t xml:space="preserve"> for</w:t>
      </w:r>
      <w:r w:rsidRPr="00B066E0">
        <w:t xml:space="preserve"> administrative expenses</w:t>
      </w:r>
      <w:r>
        <w:t>.</w:t>
      </w:r>
    </w:p>
    <w:p w14:paraId="2945B5CD" w14:textId="77777777" w:rsidR="004B6BFE" w:rsidRDefault="004B6BFE" w:rsidP="004B6BFE">
      <w:pPr>
        <w:pStyle w:val="BodyText"/>
        <w:spacing w:before="1"/>
      </w:pPr>
    </w:p>
    <w:p w14:paraId="725C3676" w14:textId="75C6ADD8" w:rsidR="004B6BFE" w:rsidRDefault="004B6BFE" w:rsidP="004B6BFE">
      <w:pPr>
        <w:pStyle w:val="BodyText"/>
        <w:ind w:right="166"/>
      </w:pPr>
      <w:r>
        <w:t>For additional information regarding the DWSRF overall programmatic requirements, please refer to the DWSRF</w:t>
      </w:r>
      <w:r w:rsidR="0035640A">
        <w:t xml:space="preserve"> Draft</w:t>
      </w:r>
      <w:r>
        <w:t xml:space="preserve"> IUP dated </w:t>
      </w:r>
      <w:r w:rsidR="00425EBD">
        <w:t xml:space="preserve">May </w:t>
      </w:r>
      <w:r w:rsidR="00F231DF">
        <w:t>2</w:t>
      </w:r>
      <w:r w:rsidR="00821AF2">
        <w:t>8</w:t>
      </w:r>
      <w:r w:rsidR="00F231DF">
        <w:t>, 2026</w:t>
      </w:r>
      <w:r>
        <w:t>, and found on DEQ’s website.</w:t>
      </w:r>
    </w:p>
    <w:p w14:paraId="5852DE8E" w14:textId="77777777" w:rsidR="00C77067" w:rsidRDefault="00C77067" w:rsidP="00C77067">
      <w:pPr>
        <w:pStyle w:val="Heading2"/>
      </w:pPr>
      <w:bookmarkStart w:id="60" w:name="_Toc230351772"/>
      <w:r>
        <w:lastRenderedPageBreak/>
        <w:t>Public Participation</w:t>
      </w:r>
      <w:bookmarkEnd w:id="60"/>
    </w:p>
    <w:p w14:paraId="190F2133" w14:textId="4A47A9CD" w:rsidR="003C3550" w:rsidRDefault="00A0710C" w:rsidP="003C3550">
      <w:r>
        <w:t xml:space="preserve">As required, DEQ </w:t>
      </w:r>
      <w:r w:rsidR="00F231DF">
        <w:t xml:space="preserve">has </w:t>
      </w:r>
      <w:r>
        <w:t xml:space="preserve">prepared a draft IUP and </w:t>
      </w:r>
      <w:r w:rsidR="00F231DF">
        <w:t xml:space="preserve">will </w:t>
      </w:r>
      <w:r>
        <w:t xml:space="preserve">provide it to the public for review and comment. The draft IUP and public meeting notification </w:t>
      </w:r>
      <w:r w:rsidR="00F231DF">
        <w:t xml:space="preserve">will be </w:t>
      </w:r>
      <w:r w:rsidR="00C06DC1">
        <w:t>posted</w:t>
      </w:r>
      <w:r>
        <w:t xml:space="preserve"> on the DEQ website on </w:t>
      </w:r>
      <w:r w:rsidR="00F231DF">
        <w:t xml:space="preserve">May </w:t>
      </w:r>
      <w:r w:rsidR="00821AF2">
        <w:t>28</w:t>
      </w:r>
      <w:r w:rsidR="00F231DF">
        <w:t>, 2026</w:t>
      </w:r>
      <w:r>
        <w:t xml:space="preserve">, and the meeting notification </w:t>
      </w:r>
      <w:r w:rsidR="00F231DF">
        <w:t xml:space="preserve">will be </w:t>
      </w:r>
      <w:r>
        <w:t>published in 7 newspapers in the state under legal advertising.</w:t>
      </w:r>
      <w:r w:rsidRPr="00CC637C">
        <w:t xml:space="preserve"> </w:t>
      </w:r>
      <w:r>
        <w:t xml:space="preserve">The public meeting </w:t>
      </w:r>
      <w:r w:rsidR="00F231DF">
        <w:t xml:space="preserve">will be </w:t>
      </w:r>
      <w:r>
        <w:t xml:space="preserve">held on June </w:t>
      </w:r>
      <w:r w:rsidR="00F231DF">
        <w:t>18, 2026</w:t>
      </w:r>
      <w:r>
        <w:t xml:space="preserve">. </w:t>
      </w:r>
    </w:p>
    <w:p w14:paraId="747953F4" w14:textId="77777777" w:rsidR="003C3550" w:rsidRDefault="003C3550" w:rsidP="003C3550"/>
    <w:p w14:paraId="3CBEF569" w14:textId="354FE6C1" w:rsidR="00C77067" w:rsidRDefault="003C3550" w:rsidP="003C3550">
      <w:r>
        <w:t xml:space="preserve">Additionally, pursuant to state law, after public comment and review, DEQ </w:t>
      </w:r>
      <w:r w:rsidR="00245241">
        <w:t xml:space="preserve">will </w:t>
      </w:r>
      <w:r w:rsidR="00A0710C">
        <w:t>submit</w:t>
      </w:r>
      <w:r>
        <w:t xml:space="preserve"> the IUP to the Advisory Committee for review, comments, and recommendations.</w:t>
      </w:r>
    </w:p>
    <w:p w14:paraId="3A642595" w14:textId="77777777" w:rsidR="00410B53" w:rsidRPr="00C16DB9" w:rsidRDefault="00410B53" w:rsidP="00C16DB9"/>
    <w:p w14:paraId="2F029C92" w14:textId="337777C6" w:rsidR="00410B53" w:rsidRDefault="00AC391C" w:rsidP="00126FE1">
      <w:pPr>
        <w:pStyle w:val="Heading1"/>
      </w:pPr>
      <w:bookmarkStart w:id="61" w:name="_Toc136072107"/>
      <w:bookmarkStart w:id="62" w:name="_Toc387672738"/>
      <w:bookmarkStart w:id="63" w:name="_Toc230351773"/>
      <w:r>
        <w:t xml:space="preserve">EC </w:t>
      </w:r>
      <w:r w:rsidR="00410B53">
        <w:t>L</w:t>
      </w:r>
      <w:r w:rsidR="003F10F2">
        <w:t>ong</w:t>
      </w:r>
      <w:r w:rsidR="00410B53">
        <w:t>-</w:t>
      </w:r>
      <w:r w:rsidR="008B5020">
        <w:t>T</w:t>
      </w:r>
      <w:r w:rsidR="003F10F2">
        <w:t>erm</w:t>
      </w:r>
      <w:r w:rsidR="00410B53">
        <w:t xml:space="preserve"> </w:t>
      </w:r>
      <w:r w:rsidR="008B5020">
        <w:t>G</w:t>
      </w:r>
      <w:r w:rsidR="003F10F2">
        <w:t>oals</w:t>
      </w:r>
      <w:bookmarkEnd w:id="61"/>
      <w:bookmarkEnd w:id="62"/>
      <w:bookmarkEnd w:id="63"/>
    </w:p>
    <w:p w14:paraId="123D65E8" w14:textId="2A68D545" w:rsidR="008F30C6" w:rsidRDefault="00410B53" w:rsidP="00B62117">
      <w:pPr>
        <w:pStyle w:val="ListParagraph"/>
        <w:numPr>
          <w:ilvl w:val="0"/>
          <w:numId w:val="1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 xml:space="preserve">To </w:t>
      </w:r>
      <w:r w:rsidR="00045A3F">
        <w:t>provide a</w:t>
      </w:r>
      <w:r>
        <w:t xml:space="preserve"> convenient source of </w:t>
      </w:r>
      <w:r w:rsidR="00045A3F">
        <w:t>funding</w:t>
      </w:r>
      <w:r>
        <w:t xml:space="preserve"> for</w:t>
      </w:r>
      <w:r w:rsidR="00AC391C">
        <w:t xml:space="preserve"> </w:t>
      </w:r>
      <w:r>
        <w:t xml:space="preserve">drinking water projects </w:t>
      </w:r>
      <w:r w:rsidR="00045A3F">
        <w:t>that</w:t>
      </w:r>
      <w:r>
        <w:t xml:space="preserve"> </w:t>
      </w:r>
      <w:r w:rsidR="00045A3F">
        <w:t>address ECs that have or could impact the water quality for communities in Montana</w:t>
      </w:r>
      <w:r>
        <w:t>.</w:t>
      </w:r>
    </w:p>
    <w:p w14:paraId="0A4A0FF5" w14:textId="77777777" w:rsidR="00C16DB9" w:rsidRPr="00C16DB9" w:rsidRDefault="00C16DB9" w:rsidP="00C16DB9"/>
    <w:p w14:paraId="5652F35C" w14:textId="7E6ABDDD" w:rsidR="00410B53" w:rsidRPr="00103C66" w:rsidRDefault="00AC391C" w:rsidP="00126FE1">
      <w:pPr>
        <w:pStyle w:val="Heading1"/>
      </w:pPr>
      <w:bookmarkStart w:id="64" w:name="_Toc136072108"/>
      <w:bookmarkStart w:id="65" w:name="_Toc387672739"/>
      <w:bookmarkStart w:id="66" w:name="_Toc230351774"/>
      <w:r>
        <w:t xml:space="preserve">EC </w:t>
      </w:r>
      <w:r w:rsidR="00410B53">
        <w:t>S</w:t>
      </w:r>
      <w:r w:rsidR="003F10F2">
        <w:t>hort</w:t>
      </w:r>
      <w:r w:rsidR="008B5020">
        <w:t>-T</w:t>
      </w:r>
      <w:r w:rsidR="003F10F2">
        <w:t>erm</w:t>
      </w:r>
      <w:r w:rsidR="00410B53">
        <w:t xml:space="preserve"> </w:t>
      </w:r>
      <w:r w:rsidR="008B5020">
        <w:t>G</w:t>
      </w:r>
      <w:r w:rsidR="003F10F2">
        <w:t>oals</w:t>
      </w:r>
      <w:bookmarkEnd w:id="64"/>
      <w:bookmarkEnd w:id="65"/>
      <w:bookmarkEnd w:id="66"/>
    </w:p>
    <w:p w14:paraId="387E0986" w14:textId="080D9348" w:rsidR="008F30C6" w:rsidRPr="00B769CF" w:rsidRDefault="00410B53" w:rsidP="00B62117">
      <w:pPr>
        <w:pStyle w:val="ListParagraph"/>
        <w:numPr>
          <w:ilvl w:val="0"/>
          <w:numId w:val="17"/>
        </w:numPr>
      </w:pPr>
      <w:r>
        <w:t xml:space="preserve">To fund </w:t>
      </w:r>
      <w:r w:rsidR="00E02163">
        <w:t xml:space="preserve">drinking water infrastructure </w:t>
      </w:r>
      <w:r>
        <w:t xml:space="preserve">projects </w:t>
      </w:r>
      <w:r w:rsidR="00A5418B">
        <w:t>that address any contaminant listed in the</w:t>
      </w:r>
      <w:r w:rsidR="00A5418B" w:rsidRPr="003C4800">
        <w:t xml:space="preserve"> EPA’s </w:t>
      </w:r>
      <w:r w:rsidR="00A5418B">
        <w:t>CCLs</w:t>
      </w:r>
      <w:r w:rsidR="00A5418B" w:rsidRPr="003C4800">
        <w:t xml:space="preserve"> (i.e., CCLs 1-5)</w:t>
      </w:r>
      <w:r w:rsidR="003C4800" w:rsidRPr="003C4800">
        <w:t>.</w:t>
      </w:r>
      <w:r w:rsidR="00B41BF0">
        <w:t xml:space="preserve"> </w:t>
      </w:r>
      <w:r>
        <w:t xml:space="preserve">Montana anticipates funding at least </w:t>
      </w:r>
      <w:r w:rsidR="0054535D">
        <w:t>6</w:t>
      </w:r>
      <w:r w:rsidR="00425EBD">
        <w:t xml:space="preserve"> </w:t>
      </w:r>
      <w:r>
        <w:t xml:space="preserve">projects to address these </w:t>
      </w:r>
      <w:r w:rsidR="003C4800">
        <w:t>contaminants</w:t>
      </w:r>
      <w:r>
        <w:t>.</w:t>
      </w:r>
    </w:p>
    <w:p w14:paraId="37B7EC8C" w14:textId="558C8C11" w:rsidR="00410B53" w:rsidRDefault="00410B53" w:rsidP="00B62117">
      <w:pPr>
        <w:pStyle w:val="ListParagraph"/>
        <w:numPr>
          <w:ilvl w:val="0"/>
          <w:numId w:val="17"/>
        </w:numPr>
      </w:pPr>
      <w:r>
        <w:t>To fund projects that promote regionalization and/or achieve consolidation of two or more existing public water supplies, thereby improving water quality.</w:t>
      </w:r>
      <w:r w:rsidR="00B41BF0">
        <w:t xml:space="preserve"> </w:t>
      </w:r>
      <w:r>
        <w:t xml:space="preserve">Montana </w:t>
      </w:r>
      <w:r w:rsidR="00610AE6">
        <w:t xml:space="preserve">expects to fund </w:t>
      </w:r>
      <w:r w:rsidR="0054535D">
        <w:t xml:space="preserve">three </w:t>
      </w:r>
      <w:r>
        <w:t>consolidation project</w:t>
      </w:r>
      <w:r w:rsidR="00610AE6">
        <w:t>s</w:t>
      </w:r>
      <w:r w:rsidR="00643BDC">
        <w:t xml:space="preserve"> in SFY </w:t>
      </w:r>
      <w:r w:rsidR="002028A9">
        <w:t>2027</w:t>
      </w:r>
      <w:r w:rsidR="008F30C6">
        <w:t>.</w:t>
      </w:r>
    </w:p>
    <w:p w14:paraId="25FA78E0" w14:textId="77777777" w:rsidR="00410B53" w:rsidRPr="00C16DB9" w:rsidRDefault="00410B53" w:rsidP="00C16DB9"/>
    <w:p w14:paraId="14FBDDD4" w14:textId="37177282" w:rsidR="00410B53" w:rsidRPr="00584727" w:rsidRDefault="00410B53" w:rsidP="00C16DB9">
      <w:r>
        <w:t xml:space="preserve">In SFY </w:t>
      </w:r>
      <w:r w:rsidR="00F231DF">
        <w:t>2027</w:t>
      </w:r>
      <w:r w:rsidR="002F4CE5">
        <w:t xml:space="preserve">, </w:t>
      </w:r>
      <w:r>
        <w:t xml:space="preserve">Montana expects to execute </w:t>
      </w:r>
      <w:r w:rsidR="00B86D83">
        <w:t>4</w:t>
      </w:r>
      <w:r w:rsidR="00F231DF">
        <w:t xml:space="preserve"> </w:t>
      </w:r>
      <w:r>
        <w:t xml:space="preserve">new binding commitments, and close </w:t>
      </w:r>
      <w:r w:rsidR="00B86D83">
        <w:t xml:space="preserve">4 </w:t>
      </w:r>
      <w:r>
        <w:t>loans totaling approximately $</w:t>
      </w:r>
      <w:r w:rsidR="00B86D83">
        <w:t xml:space="preserve">19.6 </w:t>
      </w:r>
      <w:r w:rsidR="00430F25">
        <w:t>million</w:t>
      </w:r>
      <w:r>
        <w:t xml:space="preserve"> in </w:t>
      </w:r>
      <w:r w:rsidR="00C53190">
        <w:t>EC</w:t>
      </w:r>
      <w:r w:rsidR="00E02163">
        <w:t>-</w:t>
      </w:r>
      <w:r w:rsidR="00C53190">
        <w:t xml:space="preserve">related </w:t>
      </w:r>
      <w:bookmarkStart w:id="67" w:name="_Hlk135226907"/>
      <w:r>
        <w:t xml:space="preserve">drinking water infrastructure </w:t>
      </w:r>
      <w:bookmarkEnd w:id="67"/>
      <w:r>
        <w:t>projects that will serve a total population of approximately</w:t>
      </w:r>
      <w:r w:rsidR="0092433C">
        <w:t xml:space="preserve"> </w:t>
      </w:r>
      <w:r w:rsidR="00FA09CF">
        <w:t>31,221</w:t>
      </w:r>
      <w:r>
        <w:t xml:space="preserve">. (Please see Anticipated Funding List, </w:t>
      </w:r>
      <w:r w:rsidR="00A8546D" w:rsidRPr="22A68D06">
        <w:rPr>
          <w:b/>
          <w:bCs/>
        </w:rPr>
        <w:t xml:space="preserve">Section </w:t>
      </w:r>
      <w:r w:rsidR="00256A08">
        <w:rPr>
          <w:b/>
          <w:bCs/>
        </w:rPr>
        <w:t>7</w:t>
      </w:r>
      <w:r w:rsidR="00A8546D" w:rsidRPr="22A68D06">
        <w:rPr>
          <w:b/>
          <w:bCs/>
        </w:rPr>
        <w:t>.0</w:t>
      </w:r>
      <w:r>
        <w:t>).</w:t>
      </w:r>
    </w:p>
    <w:p w14:paraId="1E4CAE23" w14:textId="77777777" w:rsidR="00410B53" w:rsidRDefault="00410B53" w:rsidP="00886EFE"/>
    <w:p w14:paraId="0549FBAF" w14:textId="2356B8E6" w:rsidR="00642136" w:rsidRPr="001366E2" w:rsidRDefault="00642136" w:rsidP="00642136">
      <w:r w:rsidRPr="001366E2">
        <w:t xml:space="preserve">Through SFY </w:t>
      </w:r>
      <w:r w:rsidR="0001415E">
        <w:t>2026</w:t>
      </w:r>
      <w:r w:rsidRPr="001366E2">
        <w:t xml:space="preserve">, Montana’s DWSRF fund utilization rate </w:t>
      </w:r>
      <w:r w:rsidR="006E2862">
        <w:t xml:space="preserve">for the EC grant </w:t>
      </w:r>
      <w:r w:rsidRPr="001366E2">
        <w:t xml:space="preserve">(cumulative loan agreement dollars to the cumulative funds available for projects) was approximately </w:t>
      </w:r>
      <w:r w:rsidR="005B2ED9">
        <w:t>17</w:t>
      </w:r>
      <w:r w:rsidRPr="001366E2">
        <w:t>% ($</w:t>
      </w:r>
      <w:r w:rsidR="005B2ED9">
        <w:t>5.3</w:t>
      </w:r>
      <w:r w:rsidRPr="001366E2">
        <w:t>M in loans to $</w:t>
      </w:r>
      <w:r w:rsidR="005B2ED9">
        <w:t>30.6</w:t>
      </w:r>
      <w:r w:rsidRPr="001366E2">
        <w:t xml:space="preserve">M available funds). In SFY </w:t>
      </w:r>
      <w:r w:rsidR="005B2ED9" w:rsidRPr="001366E2">
        <w:t>20</w:t>
      </w:r>
      <w:r w:rsidR="005B2ED9">
        <w:t>27</w:t>
      </w:r>
      <w:r w:rsidRPr="001366E2">
        <w:t xml:space="preserve">, we anticipate our pace to be approximately </w:t>
      </w:r>
      <w:r w:rsidR="00657183">
        <w:t>66</w:t>
      </w:r>
      <w:r w:rsidRPr="001366E2">
        <w:t>% ($</w:t>
      </w:r>
      <w:r w:rsidR="00657183">
        <w:t>25.0</w:t>
      </w:r>
      <w:r w:rsidRPr="001366E2">
        <w:t>M in expected loans to approximately $</w:t>
      </w:r>
      <w:r w:rsidR="00657183">
        <w:t>38.0</w:t>
      </w:r>
      <w:r w:rsidRPr="001366E2">
        <w:t xml:space="preserve">M in funds available for projects). </w:t>
      </w:r>
    </w:p>
    <w:p w14:paraId="0249233F" w14:textId="77777777" w:rsidR="00642136" w:rsidRPr="001366E2" w:rsidRDefault="00642136" w:rsidP="00642136">
      <w:pPr>
        <w:rPr>
          <w:color w:val="FF0000"/>
        </w:rPr>
      </w:pPr>
    </w:p>
    <w:p w14:paraId="4AD9E3FB" w14:textId="140BB3EC" w:rsidR="00642136" w:rsidRPr="0098127F" w:rsidRDefault="00642136" w:rsidP="00642136">
      <w:r w:rsidRPr="001366E2">
        <w:t xml:space="preserve">In SFY </w:t>
      </w:r>
      <w:r w:rsidR="00657183" w:rsidRPr="001366E2">
        <w:t>20</w:t>
      </w:r>
      <w:r w:rsidR="00657183">
        <w:t>26</w:t>
      </w:r>
      <w:r w:rsidRPr="001366E2">
        <w:t xml:space="preserve">, the rate at which DWSRF </w:t>
      </w:r>
      <w:r w:rsidR="006E2862">
        <w:t xml:space="preserve">EC </w:t>
      </w:r>
      <w:r w:rsidRPr="001366E2">
        <w:t xml:space="preserve">projects progressed as measured by disbursements as a percent of assistance provided was approximately </w:t>
      </w:r>
      <w:r w:rsidR="00670943">
        <w:t>82</w:t>
      </w:r>
      <w:r w:rsidRPr="001366E2">
        <w:t>% ($</w:t>
      </w:r>
      <w:r w:rsidR="00670943">
        <w:t>4.4</w:t>
      </w:r>
      <w:r w:rsidR="00F94713" w:rsidRPr="001366E2">
        <w:t xml:space="preserve">M </w:t>
      </w:r>
      <w:r w:rsidRPr="001366E2">
        <w:t>in disbursements to $</w:t>
      </w:r>
      <w:r w:rsidR="00670943">
        <w:t>5.3</w:t>
      </w:r>
      <w:r w:rsidRPr="001366E2">
        <w:t>M in loans)</w:t>
      </w:r>
      <w:r w:rsidR="00213F7D">
        <w:t xml:space="preserve">. </w:t>
      </w:r>
      <w:r w:rsidR="00670943">
        <w:t xml:space="preserve">In SFY 2027, the DWSRF program </w:t>
      </w:r>
      <w:r w:rsidR="00D000A5">
        <w:t>intends to maintain this pace.</w:t>
      </w:r>
      <w:r w:rsidR="00670943">
        <w:t xml:space="preserve"> </w:t>
      </w:r>
    </w:p>
    <w:p w14:paraId="2A64E995" w14:textId="77777777" w:rsidR="00642136" w:rsidRPr="00886EFE" w:rsidRDefault="00642136" w:rsidP="00886EFE"/>
    <w:p w14:paraId="7EC1287D" w14:textId="7F06243D" w:rsidR="00410B53" w:rsidRDefault="00D9198D" w:rsidP="00126FE1">
      <w:pPr>
        <w:pStyle w:val="Heading1"/>
      </w:pPr>
      <w:bookmarkStart w:id="68" w:name="_Toc136072093"/>
      <w:bookmarkStart w:id="69" w:name="_Toc387672740"/>
      <w:bookmarkStart w:id="70" w:name="_Toc44056413"/>
      <w:bookmarkStart w:id="71" w:name="_Toc230351775"/>
      <w:r>
        <w:t xml:space="preserve">Project </w:t>
      </w:r>
      <w:r w:rsidR="00410B53">
        <w:t>P</w:t>
      </w:r>
      <w:r w:rsidR="003F10F2">
        <w:t>riority</w:t>
      </w:r>
      <w:r w:rsidR="00D74FF9">
        <w:t xml:space="preserve"> L</w:t>
      </w:r>
      <w:r w:rsidR="003F10F2">
        <w:t>ist</w:t>
      </w:r>
      <w:bookmarkEnd w:id="68"/>
      <w:bookmarkEnd w:id="69"/>
      <w:bookmarkEnd w:id="70"/>
      <w:bookmarkEnd w:id="71"/>
    </w:p>
    <w:p w14:paraId="4F57F354" w14:textId="1A35AEB0" w:rsidR="009B08E3" w:rsidRDefault="009B08E3" w:rsidP="009B08E3">
      <w:r>
        <w:t xml:space="preserve">To develop the </w:t>
      </w:r>
      <w:r w:rsidR="009408AB">
        <w:t>DWSRF</w:t>
      </w:r>
      <w:r>
        <w:t xml:space="preserve"> </w:t>
      </w:r>
      <w:r w:rsidR="003D2ED4">
        <w:t>EC</w:t>
      </w:r>
      <w:r>
        <w:t xml:space="preserve"> project list, </w:t>
      </w:r>
      <w:r w:rsidR="005E159E">
        <w:t xml:space="preserve">in 2023, </w:t>
      </w:r>
      <w:r>
        <w:t>DEQ sent surveys to all community and not for profit non-community water systems in Montana</w:t>
      </w:r>
      <w:r w:rsidR="00911EF2">
        <w:t xml:space="preserve"> asking </w:t>
      </w:r>
      <w:r w:rsidR="005E159E">
        <w:t xml:space="preserve">them </w:t>
      </w:r>
      <w:r w:rsidR="00911EF2">
        <w:t xml:space="preserve">to identify projects that would address </w:t>
      </w:r>
      <w:r w:rsidR="00E02163">
        <w:t>ECs</w:t>
      </w:r>
      <w:r w:rsidR="00911EF2">
        <w:t xml:space="preserve"> in their drinking water.</w:t>
      </w:r>
      <w:r>
        <w:t xml:space="preserve"> </w:t>
      </w:r>
    </w:p>
    <w:p w14:paraId="7C1EB195" w14:textId="77777777" w:rsidR="009B08E3" w:rsidRDefault="009B08E3" w:rsidP="009B08E3"/>
    <w:p w14:paraId="00E206F7" w14:textId="1FFDD483" w:rsidR="00410B53" w:rsidRDefault="009B08E3" w:rsidP="009B08E3">
      <w:r>
        <w:t xml:space="preserve">Appendix 2 contains a comprehensive list of public water systems in Montana that have expressed interest in the DWSRF </w:t>
      </w:r>
      <w:r w:rsidR="00911EF2">
        <w:t>EC</w:t>
      </w:r>
      <w:r>
        <w:t xml:space="preserve"> funding. It is not anticipated that all the projects in Appendix 2 will use the </w:t>
      </w:r>
      <w:r w:rsidR="00911EF2">
        <w:t>EC</w:t>
      </w:r>
      <w:r>
        <w:t xml:space="preserve"> funds. Some systems expect to proceed with their projects </w:t>
      </w:r>
      <w:proofErr w:type="gramStart"/>
      <w:r>
        <w:t>in the near future</w:t>
      </w:r>
      <w:proofErr w:type="gramEnd"/>
      <w:r>
        <w:t xml:space="preserve"> while others may not be ready for the next few years. In addition, </w:t>
      </w:r>
      <w:r w:rsidR="005C78CF">
        <w:t xml:space="preserve">due to finite funding, readiness to proceed will factor into </w:t>
      </w:r>
      <w:r w:rsidR="00C52148">
        <w:t>which</w:t>
      </w:r>
      <w:r w:rsidR="005C78CF">
        <w:t xml:space="preserve"> projects will be funded with available funds</w:t>
      </w:r>
      <w:r>
        <w:t>.</w:t>
      </w:r>
    </w:p>
    <w:p w14:paraId="1F2D1B48" w14:textId="13D0853C" w:rsidR="003D2ED4" w:rsidRPr="00716FE6" w:rsidRDefault="00256A08" w:rsidP="003D2ED4">
      <w:pPr>
        <w:pStyle w:val="Heading1"/>
      </w:pPr>
      <w:bookmarkStart w:id="72" w:name="_TOC_250017"/>
      <w:bookmarkStart w:id="73" w:name="_Toc124161635"/>
      <w:bookmarkStart w:id="74" w:name="_Toc230351776"/>
      <w:bookmarkStart w:id="75" w:name="_Hlk163655214"/>
      <w:r>
        <w:lastRenderedPageBreak/>
        <w:t>EC</w:t>
      </w:r>
      <w:r w:rsidR="003D2ED4">
        <w:t xml:space="preserve"> Grant </w:t>
      </w:r>
      <w:r w:rsidR="003D2ED4" w:rsidRPr="00773724">
        <w:t>Eligible</w:t>
      </w:r>
      <w:r w:rsidR="003D2ED4" w:rsidRPr="00716FE6">
        <w:t xml:space="preserve"> System</w:t>
      </w:r>
      <w:bookmarkEnd w:id="72"/>
      <w:r w:rsidR="003D2ED4" w:rsidRPr="00716FE6">
        <w:t xml:space="preserve">s and </w:t>
      </w:r>
      <w:bookmarkEnd w:id="73"/>
      <w:r w:rsidR="00AC70D3">
        <w:t>Projects</w:t>
      </w:r>
      <w:bookmarkEnd w:id="74"/>
    </w:p>
    <w:p w14:paraId="20F63343" w14:textId="0DBAC9BF" w:rsidR="00911EF2" w:rsidRDefault="003D2ED4" w:rsidP="00911EF2">
      <w:pPr>
        <w:adjustRightInd w:val="0"/>
      </w:pPr>
      <w:r>
        <w:rPr>
          <w:rFonts w:ascii="CIDFont+F1" w:hAnsi="CIDFont+F1" w:cs="CIDFont+F1"/>
        </w:rPr>
        <w:t>The SDWA allows DWSRF assistance to publicly- and privately-owned community water systems and not for profit non-community water systems, other than systems owned by federal agencies.</w:t>
      </w:r>
      <w:r>
        <w:t xml:space="preserve"> </w:t>
      </w:r>
      <w:r w:rsidR="00911EF2" w:rsidRPr="00B35460">
        <w:t>The SDWA requires that loan recipients must demonstrate the technical, financial</w:t>
      </w:r>
      <w:r w:rsidR="00911EF2">
        <w:t>,</w:t>
      </w:r>
      <w:r w:rsidR="00911EF2" w:rsidRPr="00B35460">
        <w:t xml:space="preserve"> and managerial capacity (TFM) to comply with the SDWA and not be in significant noncompliance with any requirement of a national primary drinking water standard or variance. The DEQ and DNRC will assess TFM and compliance in accordance with Chapter One of their Handbook of Procedures after loan applications have been received. </w:t>
      </w:r>
    </w:p>
    <w:p w14:paraId="3D15FE35" w14:textId="77777777" w:rsidR="003D2ED4" w:rsidRDefault="003D2ED4" w:rsidP="003D2ED4">
      <w:pPr>
        <w:pStyle w:val="BodyText"/>
        <w:spacing w:before="11"/>
        <w:ind w:left="120"/>
      </w:pPr>
    </w:p>
    <w:p w14:paraId="0FC60D46" w14:textId="4E21E98B" w:rsidR="003D2ED4" w:rsidRDefault="003D2ED4" w:rsidP="00911EF2">
      <w:pPr>
        <w:pStyle w:val="BodyText"/>
        <w:spacing w:before="11"/>
      </w:pPr>
      <w:r>
        <w:t xml:space="preserve">Under the </w:t>
      </w:r>
      <w:r w:rsidR="00C9143D">
        <w:t>EC</w:t>
      </w:r>
      <w:r w:rsidRPr="00A11CDF">
        <w:t xml:space="preserve"> </w:t>
      </w:r>
      <w:r>
        <w:t>g</w:t>
      </w:r>
      <w:r w:rsidRPr="00A11CDF">
        <w:t>rant</w:t>
      </w:r>
      <w:r>
        <w:t xml:space="preserve">, </w:t>
      </w:r>
      <w:r w:rsidR="00B12306">
        <w:t>ECs</w:t>
      </w:r>
      <w:r w:rsidR="00B12306" w:rsidRPr="00B12306">
        <w:t xml:space="preserve"> are defined as any contaminant in any of </w:t>
      </w:r>
      <w:r w:rsidR="009F0BE9">
        <w:t xml:space="preserve">the </w:t>
      </w:r>
      <w:r w:rsidR="00B12306" w:rsidRPr="00B12306">
        <w:t xml:space="preserve">EPA’s </w:t>
      </w:r>
      <w:r w:rsidR="00A5418B">
        <w:t>CCL</w:t>
      </w:r>
      <w:r w:rsidR="00B12306" w:rsidRPr="00B12306">
        <w:t xml:space="preserve">s (i.e., CCLs 1-5) with an emphasis on PFAS. </w:t>
      </w:r>
      <w:r w:rsidR="00E02163">
        <w:t xml:space="preserve">As provided in </w:t>
      </w:r>
      <w:r w:rsidR="00322D8D">
        <w:t xml:space="preserve">the </w:t>
      </w:r>
      <w:r w:rsidR="00E02163">
        <w:t>BIL, e</w:t>
      </w:r>
      <w:r>
        <w:t>ligible projects and activities include the following (</w:t>
      </w:r>
      <w:r w:rsidR="00B12306">
        <w:t>this is not an exhaustive list</w:t>
      </w:r>
      <w:r>
        <w:t xml:space="preserve">): </w:t>
      </w:r>
    </w:p>
    <w:p w14:paraId="667B2B5C" w14:textId="1ACADCD9" w:rsidR="00C9143D" w:rsidRPr="00096797" w:rsidRDefault="00C9143D" w:rsidP="00C9143D">
      <w:pPr>
        <w:pStyle w:val="BodyText"/>
        <w:rPr>
          <w:rFonts w:asciiTheme="minorHAnsi" w:hAnsiTheme="minorHAnsi" w:cstheme="minorHAnsi"/>
          <w:b/>
          <w:bCs/>
        </w:rPr>
      </w:pPr>
      <w:r w:rsidRPr="00096797">
        <w:rPr>
          <w:rFonts w:asciiTheme="minorHAnsi" w:hAnsiTheme="minorHAnsi" w:cstheme="minorHAnsi"/>
        </w:rPr>
        <w:t xml:space="preserve"> </w:t>
      </w:r>
    </w:p>
    <w:p w14:paraId="1E3B4BDB" w14:textId="321F8F64" w:rsidR="00C9143D" w:rsidRPr="00096797" w:rsidRDefault="00E02163" w:rsidP="00B62117">
      <w:pPr>
        <w:pStyle w:val="BodyText"/>
        <w:numPr>
          <w:ilvl w:val="0"/>
          <w:numId w:val="21"/>
        </w:numPr>
        <w:rPr>
          <w:rFonts w:asciiTheme="minorHAnsi" w:hAnsiTheme="minorHAnsi" w:cstheme="minorHAnsi"/>
          <w:b/>
          <w:bCs/>
        </w:rPr>
      </w:pPr>
      <w:r>
        <w:rPr>
          <w:rFonts w:asciiTheme="minorHAnsi" w:hAnsiTheme="minorHAnsi" w:cstheme="minorHAnsi"/>
        </w:rPr>
        <w:t>C</w:t>
      </w:r>
      <w:r w:rsidR="00C9143D" w:rsidRPr="00096797">
        <w:rPr>
          <w:rFonts w:asciiTheme="minorHAnsi" w:hAnsiTheme="minorHAnsi" w:cstheme="minorHAnsi"/>
        </w:rPr>
        <w:t xml:space="preserve">osts associated with the construction of a new treatment facility or upgrade to an existing treatment facility that addresses </w:t>
      </w:r>
      <w:r>
        <w:rPr>
          <w:rFonts w:asciiTheme="minorHAnsi" w:hAnsiTheme="minorHAnsi" w:cstheme="minorHAnsi"/>
        </w:rPr>
        <w:t>EC</w:t>
      </w:r>
      <w:r w:rsidR="009F0BE9">
        <w:rPr>
          <w:rFonts w:asciiTheme="minorHAnsi" w:hAnsiTheme="minorHAnsi" w:cstheme="minorHAnsi"/>
        </w:rPr>
        <w:t>(s)</w:t>
      </w:r>
      <w:r w:rsidR="00C9143D" w:rsidRPr="00096797">
        <w:rPr>
          <w:rFonts w:asciiTheme="minorHAnsi" w:hAnsiTheme="minorHAnsi" w:cstheme="minorHAnsi"/>
        </w:rPr>
        <w:t xml:space="preserve">. </w:t>
      </w:r>
    </w:p>
    <w:p w14:paraId="63D9C575" w14:textId="7F0D27B2" w:rsidR="00C9143D" w:rsidRPr="00096797" w:rsidRDefault="00C9143D" w:rsidP="00B62117">
      <w:pPr>
        <w:pStyle w:val="BodyText"/>
        <w:numPr>
          <w:ilvl w:val="0"/>
          <w:numId w:val="21"/>
        </w:numPr>
        <w:rPr>
          <w:rFonts w:asciiTheme="minorHAnsi" w:hAnsiTheme="minorHAnsi" w:cstheme="minorHAnsi"/>
          <w:b/>
          <w:bCs/>
        </w:rPr>
      </w:pPr>
      <w:r w:rsidRPr="00096797">
        <w:rPr>
          <w:rFonts w:asciiTheme="minorHAnsi" w:hAnsiTheme="minorHAnsi" w:cstheme="minorHAnsi"/>
        </w:rPr>
        <w:t xml:space="preserve">Development of a new source (i.e., new/replacement well or intake for a public water system) that addresses an </w:t>
      </w:r>
      <w:r w:rsidR="00E02163">
        <w:rPr>
          <w:rFonts w:asciiTheme="minorHAnsi" w:hAnsiTheme="minorHAnsi" w:cstheme="minorHAnsi"/>
        </w:rPr>
        <w:t>EC</w:t>
      </w:r>
      <w:r w:rsidRPr="00096797">
        <w:rPr>
          <w:rFonts w:asciiTheme="minorHAnsi" w:hAnsiTheme="minorHAnsi" w:cstheme="minorHAnsi"/>
        </w:rPr>
        <w:t xml:space="preserve"> issue [Note: water rights purchases must still meet the criteria in the Class Deviation for Water Rights]. </w:t>
      </w:r>
    </w:p>
    <w:p w14:paraId="207AF8DD" w14:textId="77777777" w:rsidR="00C9143D" w:rsidRPr="00096797" w:rsidRDefault="00C9143D" w:rsidP="00B62117">
      <w:pPr>
        <w:pStyle w:val="BodyText"/>
        <w:numPr>
          <w:ilvl w:val="0"/>
          <w:numId w:val="21"/>
        </w:numPr>
        <w:rPr>
          <w:rFonts w:asciiTheme="minorHAnsi" w:hAnsiTheme="minorHAnsi" w:cstheme="minorHAnsi"/>
          <w:b/>
          <w:bCs/>
        </w:rPr>
      </w:pPr>
      <w:r w:rsidRPr="00096797">
        <w:rPr>
          <w:rFonts w:asciiTheme="minorHAnsi" w:hAnsiTheme="minorHAnsi" w:cstheme="minorHAnsi"/>
        </w:rPr>
        <w:t xml:space="preserve">Costs for planning and design and associated pre-project costs. </w:t>
      </w:r>
    </w:p>
    <w:p w14:paraId="28AA0BA1" w14:textId="77777777" w:rsidR="00C9143D" w:rsidRPr="00096797" w:rsidRDefault="00C9143D" w:rsidP="00B62117">
      <w:pPr>
        <w:pStyle w:val="BodyText"/>
        <w:numPr>
          <w:ilvl w:val="0"/>
          <w:numId w:val="21"/>
        </w:numPr>
        <w:rPr>
          <w:rFonts w:asciiTheme="minorHAnsi" w:hAnsiTheme="minorHAnsi" w:cstheme="minorHAnsi"/>
          <w:b/>
          <w:bCs/>
        </w:rPr>
      </w:pPr>
      <w:r w:rsidRPr="00096797">
        <w:rPr>
          <w:rFonts w:asciiTheme="minorHAnsi" w:hAnsiTheme="minorHAnsi" w:cstheme="minorHAnsi"/>
        </w:rPr>
        <w:t xml:space="preserve">Infrastructure related to pilot testing for treatment alternatives. </w:t>
      </w:r>
    </w:p>
    <w:p w14:paraId="7A457F38" w14:textId="1E8CF50F" w:rsidR="00144346" w:rsidRPr="004B0D03" w:rsidRDefault="00C9143D" w:rsidP="00B62117">
      <w:pPr>
        <w:pStyle w:val="ListParagraph"/>
        <w:numPr>
          <w:ilvl w:val="0"/>
          <w:numId w:val="21"/>
        </w:numPr>
      </w:pPr>
      <w:r w:rsidRPr="00AC70D3">
        <w:rPr>
          <w:rFonts w:asciiTheme="minorHAnsi" w:hAnsiTheme="minorHAnsi" w:cstheme="minorHAnsi"/>
        </w:rPr>
        <w:t>Creation of a new community water system to address unsafe drinking water provided by individual (i.e., privately-owned) wells or surface water sources.</w:t>
      </w:r>
    </w:p>
    <w:p w14:paraId="3BBCCF7F" w14:textId="34AD6296" w:rsidR="004B0D03" w:rsidRDefault="004B0D03" w:rsidP="004B0D03"/>
    <w:p w14:paraId="61DCAD4D" w14:textId="23439D3F" w:rsidR="00C537E1" w:rsidRDefault="00C537E1" w:rsidP="004B0D03">
      <w:r>
        <w:t xml:space="preserve">To be an eligible EC project, the proposed project must result in a </w:t>
      </w:r>
      <w:r w:rsidR="00622D32">
        <w:t xml:space="preserve">significant </w:t>
      </w:r>
      <w:r>
        <w:t xml:space="preserve">reduction of the target EC concentration in the </w:t>
      </w:r>
      <w:r w:rsidR="00776C4E">
        <w:t>water served to customers</w:t>
      </w:r>
      <w:r>
        <w:t xml:space="preserve">. If the </w:t>
      </w:r>
      <w:r w:rsidR="00776C4E">
        <w:t xml:space="preserve">target </w:t>
      </w:r>
      <w:r>
        <w:t xml:space="preserve">EC is PFAS, the </w:t>
      </w:r>
      <w:r w:rsidR="005045DB">
        <w:t xml:space="preserve">proposed project must ensure the </w:t>
      </w:r>
      <w:r>
        <w:t>water</w:t>
      </w:r>
      <w:r w:rsidR="00656C92">
        <w:t xml:space="preserve"> served to customers has a</w:t>
      </w:r>
      <w:r>
        <w:t xml:space="preserve"> </w:t>
      </w:r>
      <w:r w:rsidR="005045DB">
        <w:t xml:space="preserve">PFAS </w:t>
      </w:r>
      <w:r>
        <w:t xml:space="preserve">concentration </w:t>
      </w:r>
      <w:r w:rsidR="00501FA1">
        <w:t xml:space="preserve">that </w:t>
      </w:r>
      <w:r w:rsidR="008871FE">
        <w:t>is less than 75% of the maximum contaminant limit (MCL) or non-detect depending on the MCL and detection limit for regulated PFAS’s or shows a significant reduction in concentration for non-regulated PFAS’s</w:t>
      </w:r>
      <w:r>
        <w:t xml:space="preserve">. </w:t>
      </w:r>
      <w:bookmarkStart w:id="76" w:name="_Hlk163805641"/>
      <w:r w:rsidR="005045DB">
        <w:t>If the</w:t>
      </w:r>
      <w:r w:rsidR="00776C4E">
        <w:t xml:space="preserve"> target</w:t>
      </w:r>
      <w:r w:rsidR="005045DB">
        <w:t xml:space="preserve"> EC is manganese and the </w:t>
      </w:r>
      <w:r w:rsidR="00776C4E">
        <w:t xml:space="preserve">initial </w:t>
      </w:r>
      <w:r w:rsidR="005045DB">
        <w:t>concentration is above the</w:t>
      </w:r>
      <w:r w:rsidR="00940DF1">
        <w:t xml:space="preserve"> EPA</w:t>
      </w:r>
      <w:r w:rsidR="005045DB">
        <w:t xml:space="preserve"> </w:t>
      </w:r>
      <w:r w:rsidR="00940DF1">
        <w:t>secondary maximum contaminant level (</w:t>
      </w:r>
      <w:r w:rsidR="005045DB">
        <w:t>SMCL</w:t>
      </w:r>
      <w:r w:rsidR="00940DF1">
        <w:t>)</w:t>
      </w:r>
      <w:r w:rsidR="005045DB">
        <w:t xml:space="preserve">, the proposed project must result in a manganese concentration below the SMCL. </w:t>
      </w:r>
      <w:bookmarkEnd w:id="76"/>
      <w:r w:rsidR="005045DB">
        <w:t xml:space="preserve">For all other ECs (including manganese below the SMCL), the proposed project must result in a significant reduction in the </w:t>
      </w:r>
      <w:r w:rsidR="00656C92">
        <w:t xml:space="preserve">target EC in the </w:t>
      </w:r>
      <w:r w:rsidR="00776C4E">
        <w:t xml:space="preserve">water served to customers. </w:t>
      </w:r>
      <w:r>
        <w:t>If the proposed project</w:t>
      </w:r>
      <w:r w:rsidR="00B537DE">
        <w:t xml:space="preserve"> does not result in a reduction of the target EC concentration in the </w:t>
      </w:r>
      <w:r w:rsidR="00E25B4A">
        <w:t>water served to customers</w:t>
      </w:r>
      <w:r w:rsidR="00B537DE">
        <w:t xml:space="preserve"> (e.g. proposed project</w:t>
      </w:r>
      <w:r>
        <w:t xml:space="preserve"> is to optimize existing EC treatment related to a residual waste stream</w:t>
      </w:r>
      <w:r w:rsidR="00B537DE">
        <w:t>)</w:t>
      </w:r>
      <w:r>
        <w:t xml:space="preserve">, those projects will be evaluated on a case-by-case basis.  </w:t>
      </w:r>
    </w:p>
    <w:bookmarkEnd w:id="75"/>
    <w:p w14:paraId="25649822" w14:textId="77777777" w:rsidR="003D2ED4" w:rsidRPr="00144346" w:rsidRDefault="003D2ED4" w:rsidP="00144346"/>
    <w:p w14:paraId="572E8FB6" w14:textId="30411BBA" w:rsidR="00410B53" w:rsidRPr="00126FE1" w:rsidRDefault="00410B53" w:rsidP="00126FE1">
      <w:pPr>
        <w:pStyle w:val="Heading1"/>
      </w:pPr>
      <w:bookmarkStart w:id="77" w:name="_Toc136072096"/>
      <w:bookmarkStart w:id="78" w:name="_Toc387672743"/>
      <w:bookmarkStart w:id="79" w:name="_Toc230351777"/>
      <w:r w:rsidRPr="00126FE1">
        <w:t>D</w:t>
      </w:r>
      <w:r w:rsidR="00E730D8" w:rsidRPr="00126FE1">
        <w:t>isadvantaged</w:t>
      </w:r>
      <w:r w:rsidRPr="00126FE1">
        <w:t xml:space="preserve"> C</w:t>
      </w:r>
      <w:r w:rsidR="00E730D8" w:rsidRPr="00126FE1">
        <w:t>ommunities</w:t>
      </w:r>
      <w:bookmarkEnd w:id="77"/>
      <w:bookmarkEnd w:id="78"/>
      <w:bookmarkEnd w:id="79"/>
    </w:p>
    <w:p w14:paraId="4368E874" w14:textId="0A27A629" w:rsidR="005E159E" w:rsidRDefault="005E159E" w:rsidP="00B12306">
      <w:r>
        <w:t xml:space="preserve">A </w:t>
      </w:r>
      <w:r w:rsidRPr="00B41BF0">
        <w:t>community</w:t>
      </w:r>
      <w:r>
        <w:t xml:space="preserve"> is considered economically disadvantaged when its combined annual water and wastewater or water only system rates are greater than the target rates established by the Montana Department of Commerce. These target rates are consistent with affordability requirements for other state funding agencies in Montana. The water and sewer rates used for this calculation include new and existing debt service and required coverage, new and existing operation and maintenance charges, and normal depreciation and replacement expenses. </w:t>
      </w:r>
    </w:p>
    <w:p w14:paraId="2C2F8674" w14:textId="77777777" w:rsidR="00CF5BDB" w:rsidRDefault="00CF5BDB" w:rsidP="00B41BF0"/>
    <w:p w14:paraId="7E86D2CD" w14:textId="4FB7667D" w:rsidR="00410B53" w:rsidRPr="00C4261E" w:rsidRDefault="00B12306" w:rsidP="00C4261E">
      <w:r>
        <w:t>The</w:t>
      </w:r>
      <w:r>
        <w:rPr>
          <w:spacing w:val="-1"/>
        </w:rPr>
        <w:t xml:space="preserve"> BIL stipulates that 100% of the EC grant funds be provided as principal forgiveness. Per the Safe Drinking Water Act (SDWA), states must direct at least 25% of the</w:t>
      </w:r>
      <w:r w:rsidR="009F0BE9">
        <w:rPr>
          <w:spacing w:val="-1"/>
        </w:rPr>
        <w:t xml:space="preserve">se </w:t>
      </w:r>
      <w:r>
        <w:rPr>
          <w:spacing w:val="-1"/>
        </w:rPr>
        <w:t>funds to disadvantaged communities or public water systems serving fewer than 25,000 persons.</w:t>
      </w:r>
      <w:r w:rsidR="00CF5BDB">
        <w:rPr>
          <w:spacing w:val="-1"/>
        </w:rPr>
        <w:t xml:space="preserve"> </w:t>
      </w:r>
      <w:r w:rsidR="00D04B6C">
        <w:t xml:space="preserve"> </w:t>
      </w:r>
    </w:p>
    <w:p w14:paraId="1551F6C4" w14:textId="42A8E837" w:rsidR="00410B53" w:rsidRPr="00103C66" w:rsidRDefault="00410B53" w:rsidP="00126FE1">
      <w:pPr>
        <w:pStyle w:val="Heading1"/>
      </w:pPr>
      <w:bookmarkStart w:id="80" w:name="_Toc136072097"/>
      <w:bookmarkStart w:id="81" w:name="_Toc387672745"/>
      <w:bookmarkStart w:id="82" w:name="_Toc230351778"/>
      <w:r>
        <w:lastRenderedPageBreak/>
        <w:t>Anticipated Funding List</w:t>
      </w:r>
      <w:bookmarkEnd w:id="80"/>
      <w:bookmarkEnd w:id="81"/>
      <w:bookmarkEnd w:id="82"/>
    </w:p>
    <w:p w14:paraId="747B4FF9" w14:textId="12E269F9" w:rsidR="00410B53" w:rsidRDefault="001748DF" w:rsidP="00C4261E">
      <w:r w:rsidRPr="001748DF">
        <w:rPr>
          <w:rFonts w:eastAsia="Calibri" w:cs="Calibri"/>
          <w:b/>
        </w:rPr>
        <w:t xml:space="preserve">Table 1 </w:t>
      </w:r>
      <w:r w:rsidRPr="001748DF">
        <w:rPr>
          <w:rFonts w:eastAsia="Calibri" w:cs="Calibri"/>
        </w:rPr>
        <w:t xml:space="preserve">contains those projects that the DWSRF program anticipates will be funded with the FFY </w:t>
      </w:r>
      <w:r w:rsidR="00B9055D">
        <w:rPr>
          <w:rFonts w:eastAsia="Calibri" w:cs="Calibri"/>
        </w:rPr>
        <w:t>2026</w:t>
      </w:r>
      <w:r w:rsidR="00B9055D" w:rsidRPr="001748DF">
        <w:rPr>
          <w:rFonts w:eastAsia="Calibri" w:cs="Calibri"/>
        </w:rPr>
        <w:t xml:space="preserve"> </w:t>
      </w:r>
      <w:r w:rsidR="009C6077">
        <w:rPr>
          <w:rFonts w:eastAsia="Calibri" w:cs="Calibri"/>
        </w:rPr>
        <w:t xml:space="preserve">EC </w:t>
      </w:r>
      <w:r w:rsidRPr="001748DF">
        <w:rPr>
          <w:rFonts w:eastAsia="Calibri" w:cs="Calibri"/>
        </w:rPr>
        <w:t>grant</w:t>
      </w:r>
      <w:r w:rsidR="00CD4150">
        <w:rPr>
          <w:rFonts w:eastAsia="Calibri" w:cs="Calibri"/>
        </w:rPr>
        <w:t xml:space="preserve"> </w:t>
      </w:r>
      <w:r w:rsidRPr="001748DF">
        <w:rPr>
          <w:rFonts w:eastAsia="Calibri" w:cs="Calibri"/>
        </w:rPr>
        <w:t xml:space="preserve">for SFY </w:t>
      </w:r>
      <w:r w:rsidR="00B9055D">
        <w:rPr>
          <w:rFonts w:eastAsia="Calibri" w:cs="Calibri"/>
        </w:rPr>
        <w:t>2027</w:t>
      </w:r>
      <w:r w:rsidRPr="001748DF">
        <w:rPr>
          <w:rFonts w:eastAsia="Calibri" w:cs="Calibri"/>
        </w:rPr>
        <w:t xml:space="preserve">. This list represents those projects most likely to proceed, starting from the highest ranked projects on the comprehensive priority list (see discussion of ranking criteria in </w:t>
      </w:r>
      <w:r w:rsidRPr="001748DF">
        <w:rPr>
          <w:rFonts w:eastAsia="Calibri" w:cs="Calibri"/>
          <w:b/>
        </w:rPr>
        <w:t xml:space="preserve">Appendix </w:t>
      </w:r>
      <w:r w:rsidR="00235AF1">
        <w:rPr>
          <w:rFonts w:eastAsia="Calibri" w:cs="Calibri"/>
          <w:b/>
        </w:rPr>
        <w:t>1</w:t>
      </w:r>
      <w:r w:rsidRPr="001748DF">
        <w:rPr>
          <w:rFonts w:eastAsia="Calibri" w:cs="Calibri"/>
        </w:rPr>
        <w:t>).</w:t>
      </w:r>
      <w:r>
        <w:rPr>
          <w:rFonts w:eastAsia="Calibri" w:cs="Calibri"/>
        </w:rPr>
        <w:t xml:space="preserve"> </w:t>
      </w:r>
      <w:r w:rsidR="00235AF1">
        <w:rPr>
          <w:rFonts w:eastAsia="Calibri" w:cs="Calibri"/>
        </w:rPr>
        <w:t xml:space="preserve">Based on the stipulations provided in the BIL, </w:t>
      </w:r>
      <w:r>
        <w:rPr>
          <w:rFonts w:eastAsia="Calibri" w:cs="Calibri"/>
        </w:rPr>
        <w:t>principal forgiveness</w:t>
      </w:r>
      <w:r w:rsidR="00235AF1">
        <w:rPr>
          <w:rFonts w:eastAsia="Calibri" w:cs="Calibri"/>
        </w:rPr>
        <w:t xml:space="preserve"> will be applied to all projects </w:t>
      </w:r>
      <w:r w:rsidR="003E2A43">
        <w:rPr>
          <w:rFonts w:eastAsia="Calibri" w:cs="Calibri"/>
        </w:rPr>
        <w:t>funded by the</w:t>
      </w:r>
      <w:r w:rsidR="00235AF1">
        <w:rPr>
          <w:rFonts w:eastAsia="Calibri" w:cs="Calibri"/>
        </w:rPr>
        <w:t xml:space="preserve"> EC grant</w:t>
      </w:r>
      <w:r>
        <w:rPr>
          <w:rFonts w:eastAsia="Calibri" w:cs="Calibri"/>
        </w:rPr>
        <w:t>.</w:t>
      </w:r>
    </w:p>
    <w:p w14:paraId="39B7FD71" w14:textId="7E577842" w:rsidR="00FF1605" w:rsidRDefault="00FF1605" w:rsidP="000B7B34"/>
    <w:p w14:paraId="7CAD6EB0" w14:textId="1B2CD8A4" w:rsidR="007761C6" w:rsidRDefault="00E163D8" w:rsidP="00AB6785">
      <w:pPr>
        <w:pStyle w:val="Caption"/>
      </w:pPr>
      <w:bookmarkStart w:id="83" w:name="_Toc230351714"/>
      <w:bookmarkStart w:id="84" w:name="_Hlk105581038"/>
      <w:r w:rsidRPr="00AB6785">
        <w:t xml:space="preserve">Table </w:t>
      </w:r>
      <w:r w:rsidR="00517775">
        <w:fldChar w:fldCharType="begin"/>
      </w:r>
      <w:r w:rsidR="00517775">
        <w:instrText xml:space="preserve"> SEQ Table \* ARABIC </w:instrText>
      </w:r>
      <w:r w:rsidR="00517775">
        <w:fldChar w:fldCharType="separate"/>
      </w:r>
      <w:r w:rsidR="003A7218">
        <w:rPr>
          <w:noProof/>
        </w:rPr>
        <w:t>1</w:t>
      </w:r>
      <w:r w:rsidR="00517775">
        <w:rPr>
          <w:noProof/>
        </w:rPr>
        <w:fldChar w:fldCharType="end"/>
      </w:r>
      <w:r w:rsidR="007761C6" w:rsidRPr="00AB6785">
        <w:t xml:space="preserve">. DWSRF Projects Anticipated to Receive </w:t>
      </w:r>
      <w:r w:rsidR="001748DF">
        <w:t xml:space="preserve">FFY </w:t>
      </w:r>
      <w:r w:rsidR="00B9055D">
        <w:t xml:space="preserve">2026 </w:t>
      </w:r>
      <w:r w:rsidR="001748DF">
        <w:t xml:space="preserve">EC Grant </w:t>
      </w:r>
      <w:r w:rsidR="007761C6" w:rsidRPr="00AB6785">
        <w:t>Funding</w:t>
      </w:r>
      <w:r w:rsidR="001748DF">
        <w:t xml:space="preserve"> for</w:t>
      </w:r>
      <w:r w:rsidR="007761C6" w:rsidRPr="00AB6785">
        <w:t xml:space="preserve"> SFY </w:t>
      </w:r>
      <w:r w:rsidR="00B9055D">
        <w:t>2027</w:t>
      </w:r>
      <w:bookmarkEnd w:id="83"/>
    </w:p>
    <w:tbl>
      <w:tblPr>
        <w:tblStyle w:val="TableGrid"/>
        <w:tblW w:w="0" w:type="auto"/>
        <w:tblLook w:val="04A0" w:firstRow="1" w:lastRow="0" w:firstColumn="1" w:lastColumn="0" w:noHBand="0" w:noVBand="1"/>
      </w:tblPr>
      <w:tblGrid>
        <w:gridCol w:w="941"/>
        <w:gridCol w:w="1605"/>
        <w:gridCol w:w="4465"/>
        <w:gridCol w:w="2339"/>
      </w:tblGrid>
      <w:tr w:rsidR="0092433C" w:rsidRPr="002B2305" w14:paraId="21E07E1A" w14:textId="77777777" w:rsidTr="00F865B1">
        <w:trPr>
          <w:cantSplit/>
          <w:trHeight w:val="525"/>
          <w:tblHeader/>
        </w:trPr>
        <w:tc>
          <w:tcPr>
            <w:tcW w:w="941" w:type="dxa"/>
            <w:vAlign w:val="center"/>
            <w:hideMark/>
          </w:tcPr>
          <w:p w14:paraId="60A27AFC" w14:textId="77777777" w:rsidR="0092433C" w:rsidRPr="002B2305" w:rsidRDefault="0092433C" w:rsidP="002B2305">
            <w:pPr>
              <w:jc w:val="center"/>
              <w:rPr>
                <w:b/>
                <w:bCs/>
              </w:rPr>
            </w:pPr>
            <w:bookmarkStart w:id="85" w:name="RANGE!B1"/>
            <w:r w:rsidRPr="002B2305">
              <w:rPr>
                <w:b/>
                <w:bCs/>
              </w:rPr>
              <w:t>Priority Rank</w:t>
            </w:r>
            <w:bookmarkEnd w:id="85"/>
          </w:p>
        </w:tc>
        <w:tc>
          <w:tcPr>
            <w:tcW w:w="1605" w:type="dxa"/>
            <w:vAlign w:val="center"/>
            <w:hideMark/>
          </w:tcPr>
          <w:p w14:paraId="5454EE7C" w14:textId="77777777" w:rsidR="0092433C" w:rsidRPr="002B2305" w:rsidRDefault="0092433C" w:rsidP="002B2305">
            <w:pPr>
              <w:jc w:val="center"/>
              <w:rPr>
                <w:b/>
                <w:bCs/>
              </w:rPr>
            </w:pPr>
            <w:r w:rsidRPr="002B2305">
              <w:rPr>
                <w:b/>
                <w:bCs/>
              </w:rPr>
              <w:t>Project</w:t>
            </w:r>
          </w:p>
        </w:tc>
        <w:tc>
          <w:tcPr>
            <w:tcW w:w="4465" w:type="dxa"/>
            <w:vAlign w:val="center"/>
            <w:hideMark/>
          </w:tcPr>
          <w:p w14:paraId="594DFC30" w14:textId="77777777" w:rsidR="0092433C" w:rsidRPr="002B2305" w:rsidRDefault="0092433C" w:rsidP="002B2305">
            <w:pPr>
              <w:jc w:val="center"/>
              <w:rPr>
                <w:b/>
                <w:bCs/>
              </w:rPr>
            </w:pPr>
            <w:r w:rsidRPr="002B2305">
              <w:rPr>
                <w:b/>
                <w:bCs/>
              </w:rPr>
              <w:t>Project Information</w:t>
            </w:r>
          </w:p>
        </w:tc>
        <w:tc>
          <w:tcPr>
            <w:tcW w:w="2339" w:type="dxa"/>
            <w:vAlign w:val="center"/>
            <w:hideMark/>
          </w:tcPr>
          <w:p w14:paraId="1FD0A1EB" w14:textId="77777777" w:rsidR="0092433C" w:rsidRPr="002B2305" w:rsidRDefault="0092433C" w:rsidP="002B2305">
            <w:pPr>
              <w:jc w:val="center"/>
              <w:rPr>
                <w:b/>
                <w:bCs/>
              </w:rPr>
            </w:pPr>
            <w:r w:rsidRPr="002B2305">
              <w:rPr>
                <w:b/>
                <w:bCs/>
              </w:rPr>
              <w:t>SRF Cost</w:t>
            </w:r>
          </w:p>
        </w:tc>
      </w:tr>
      <w:tr w:rsidR="0092433C" w:rsidRPr="002B2305" w14:paraId="3C753E26" w14:textId="77777777" w:rsidTr="00F865B1">
        <w:trPr>
          <w:cantSplit/>
          <w:trHeight w:val="1035"/>
        </w:trPr>
        <w:tc>
          <w:tcPr>
            <w:tcW w:w="941" w:type="dxa"/>
            <w:vAlign w:val="center"/>
          </w:tcPr>
          <w:p w14:paraId="3C527B18" w14:textId="77777777" w:rsidR="0092433C" w:rsidRPr="002B2305" w:rsidRDefault="0092433C" w:rsidP="003D33C6">
            <w:pPr>
              <w:jc w:val="center"/>
            </w:pPr>
            <w:r>
              <w:t>1</w:t>
            </w:r>
          </w:p>
        </w:tc>
        <w:tc>
          <w:tcPr>
            <w:tcW w:w="1605" w:type="dxa"/>
            <w:vAlign w:val="center"/>
          </w:tcPr>
          <w:p w14:paraId="434924C8" w14:textId="77777777" w:rsidR="0092433C" w:rsidRPr="002B2305" w:rsidRDefault="0092433C" w:rsidP="003D33C6">
            <w:r>
              <w:t>Kalispell</w:t>
            </w:r>
          </w:p>
        </w:tc>
        <w:tc>
          <w:tcPr>
            <w:tcW w:w="4465" w:type="dxa"/>
          </w:tcPr>
          <w:p w14:paraId="6814D70F" w14:textId="77777777" w:rsidR="0092433C" w:rsidRDefault="0092433C" w:rsidP="003D33C6">
            <w:r>
              <w:t>EC addressed: PFAS</w:t>
            </w:r>
          </w:p>
          <w:p w14:paraId="028B4274" w14:textId="77777777" w:rsidR="0092433C" w:rsidRDefault="0092433C" w:rsidP="003D33C6">
            <w:r>
              <w:t xml:space="preserve">Project: Drill two new wells to replace two wells with detected PFAS. </w:t>
            </w:r>
          </w:p>
          <w:p w14:paraId="3381141D" w14:textId="77777777" w:rsidR="0092433C" w:rsidRDefault="0092433C" w:rsidP="003D33C6">
            <w:r>
              <w:t>Disadvantaged: Yes</w:t>
            </w:r>
          </w:p>
          <w:p w14:paraId="79ED6A4F" w14:textId="77777777" w:rsidR="0092433C" w:rsidRPr="002B2305" w:rsidRDefault="0092433C" w:rsidP="003D33C6">
            <w:r>
              <w:t>Population: 28,450</w:t>
            </w:r>
          </w:p>
        </w:tc>
        <w:tc>
          <w:tcPr>
            <w:tcW w:w="2339" w:type="dxa"/>
            <w:vAlign w:val="center"/>
          </w:tcPr>
          <w:p w14:paraId="24145E60" w14:textId="77777777" w:rsidR="0092433C" w:rsidRPr="002B2305" w:rsidRDefault="0092433C" w:rsidP="003D33C6">
            <w:pPr>
              <w:jc w:val="center"/>
            </w:pPr>
            <w:r>
              <w:t>$10,861,482</w:t>
            </w:r>
          </w:p>
        </w:tc>
      </w:tr>
      <w:tr w:rsidR="00BF6425" w:rsidRPr="002B2305" w14:paraId="23F06E65" w14:textId="77777777" w:rsidTr="00F865B1">
        <w:trPr>
          <w:cantSplit/>
          <w:trHeight w:val="1421"/>
        </w:trPr>
        <w:tc>
          <w:tcPr>
            <w:tcW w:w="941" w:type="dxa"/>
            <w:vAlign w:val="center"/>
          </w:tcPr>
          <w:p w14:paraId="249019CE" w14:textId="23997B47" w:rsidR="00BF6425" w:rsidRDefault="002A4C7B" w:rsidP="00F865B1">
            <w:pPr>
              <w:jc w:val="center"/>
            </w:pPr>
            <w:r>
              <w:t>2</w:t>
            </w:r>
          </w:p>
        </w:tc>
        <w:tc>
          <w:tcPr>
            <w:tcW w:w="1605" w:type="dxa"/>
            <w:vAlign w:val="center"/>
          </w:tcPr>
          <w:p w14:paraId="473AB865" w14:textId="3DA19739" w:rsidR="00BF6425" w:rsidRDefault="00BF6425" w:rsidP="00F865B1">
            <w:r>
              <w:t>Malta</w:t>
            </w:r>
          </w:p>
        </w:tc>
        <w:tc>
          <w:tcPr>
            <w:tcW w:w="4465" w:type="dxa"/>
          </w:tcPr>
          <w:p w14:paraId="2CE5D082" w14:textId="77777777" w:rsidR="00BF6425" w:rsidRDefault="00BF6425" w:rsidP="00F865B1">
            <w:r>
              <w:t>EC addressed: manganese</w:t>
            </w:r>
          </w:p>
          <w:p w14:paraId="616C69EE" w14:textId="77777777" w:rsidR="00BF6425" w:rsidRDefault="00BF6425" w:rsidP="00F865B1">
            <w:r>
              <w:t>Project: Install oxidation/filtration treatment system to address high manganese at two wells.</w:t>
            </w:r>
          </w:p>
          <w:p w14:paraId="104D1B9C" w14:textId="77777777" w:rsidR="00BF6425" w:rsidRDefault="00BF6425" w:rsidP="00F865B1">
            <w:r>
              <w:t>Disadvantaged: Yes</w:t>
            </w:r>
          </w:p>
          <w:p w14:paraId="32C0DC40" w14:textId="065F0E3E" w:rsidR="00BF6425" w:rsidRDefault="00BF6425" w:rsidP="00F865B1">
            <w:r>
              <w:t>Population: 2,090</w:t>
            </w:r>
          </w:p>
        </w:tc>
        <w:tc>
          <w:tcPr>
            <w:tcW w:w="2339" w:type="dxa"/>
            <w:vAlign w:val="center"/>
          </w:tcPr>
          <w:p w14:paraId="0B7F148D" w14:textId="7131DC0C" w:rsidR="00BF6425" w:rsidRDefault="00BF6425" w:rsidP="00F865B1">
            <w:pPr>
              <w:jc w:val="center"/>
            </w:pPr>
            <w:r>
              <w:t>$3,</w:t>
            </w:r>
            <w:r w:rsidR="009E797A">
              <w:t>236,000</w:t>
            </w:r>
          </w:p>
          <w:p w14:paraId="2BCE49C2" w14:textId="5CF31606" w:rsidR="00BF6425" w:rsidRDefault="00BF6425" w:rsidP="00F865B1">
            <w:pPr>
              <w:jc w:val="center"/>
            </w:pPr>
            <w:r>
              <w:t>(construction loan)</w:t>
            </w:r>
          </w:p>
        </w:tc>
      </w:tr>
      <w:tr w:rsidR="0092433C" w:rsidRPr="002B2305" w14:paraId="365F08E8" w14:textId="77777777" w:rsidTr="00F865B1">
        <w:trPr>
          <w:cantSplit/>
          <w:trHeight w:val="1421"/>
        </w:trPr>
        <w:tc>
          <w:tcPr>
            <w:tcW w:w="941" w:type="dxa"/>
            <w:vAlign w:val="center"/>
          </w:tcPr>
          <w:p w14:paraId="54A66B17" w14:textId="763EA386" w:rsidR="0092433C" w:rsidRDefault="002A4C7B" w:rsidP="003D33C6">
            <w:pPr>
              <w:jc w:val="center"/>
            </w:pPr>
            <w:r>
              <w:t>8</w:t>
            </w:r>
          </w:p>
        </w:tc>
        <w:tc>
          <w:tcPr>
            <w:tcW w:w="1605" w:type="dxa"/>
            <w:vAlign w:val="center"/>
          </w:tcPr>
          <w:p w14:paraId="0F673EFB" w14:textId="03D518C9" w:rsidR="0092433C" w:rsidRDefault="00A01F1B" w:rsidP="003D33C6">
            <w:r>
              <w:t>Middle Musselshell WD</w:t>
            </w:r>
          </w:p>
        </w:tc>
        <w:tc>
          <w:tcPr>
            <w:tcW w:w="4465" w:type="dxa"/>
          </w:tcPr>
          <w:p w14:paraId="378A91E0" w14:textId="5648BB82" w:rsidR="0092433C" w:rsidRDefault="00A01F1B" w:rsidP="003D33C6">
            <w:r>
              <w:t>EC addressed: manganese</w:t>
            </w:r>
          </w:p>
          <w:p w14:paraId="4EC0A97E" w14:textId="77777777" w:rsidR="00A01F1B" w:rsidRDefault="00A01F1B" w:rsidP="003D33C6">
            <w:r>
              <w:t>Project: Distribution system for water district residents on private wells. The source of water will come from Central Montana Regional Water Authority.</w:t>
            </w:r>
          </w:p>
          <w:p w14:paraId="7D689412" w14:textId="77777777" w:rsidR="00A01F1B" w:rsidRDefault="00A01F1B" w:rsidP="003D33C6">
            <w:r>
              <w:t>Disadvantaged: No</w:t>
            </w:r>
          </w:p>
          <w:p w14:paraId="3B0DC9EF" w14:textId="1D421BFE" w:rsidR="00A01F1B" w:rsidRDefault="00A01F1B" w:rsidP="003D33C6">
            <w:r>
              <w:t>Population: 90</w:t>
            </w:r>
          </w:p>
        </w:tc>
        <w:tc>
          <w:tcPr>
            <w:tcW w:w="2339" w:type="dxa"/>
            <w:vAlign w:val="center"/>
          </w:tcPr>
          <w:p w14:paraId="4AD99B15" w14:textId="3F4E50A7" w:rsidR="0092433C" w:rsidRDefault="00E041D2" w:rsidP="003D33C6">
            <w:pPr>
              <w:jc w:val="center"/>
            </w:pPr>
            <w:r>
              <w:t>$3,15</w:t>
            </w:r>
            <w:r w:rsidR="009E797A">
              <w:t>8</w:t>
            </w:r>
            <w:r>
              <w:t>,6</w:t>
            </w:r>
            <w:r w:rsidR="009E797A">
              <w:t>0</w:t>
            </w:r>
            <w:r>
              <w:t>0</w:t>
            </w:r>
          </w:p>
          <w:p w14:paraId="1B08A999" w14:textId="4DB5F116" w:rsidR="00E041D2" w:rsidRDefault="00E041D2" w:rsidP="003D33C6">
            <w:pPr>
              <w:jc w:val="center"/>
            </w:pPr>
            <w:r>
              <w:t>(construction loan)</w:t>
            </w:r>
          </w:p>
        </w:tc>
      </w:tr>
      <w:tr w:rsidR="0092433C" w:rsidRPr="002B2305" w14:paraId="1E1A8E59" w14:textId="77777777" w:rsidTr="00F865B1">
        <w:trPr>
          <w:cantSplit/>
          <w:trHeight w:val="1421"/>
        </w:trPr>
        <w:tc>
          <w:tcPr>
            <w:tcW w:w="941" w:type="dxa"/>
            <w:vAlign w:val="center"/>
          </w:tcPr>
          <w:p w14:paraId="1C039C6D" w14:textId="42A6A3F0" w:rsidR="0092433C" w:rsidRPr="002B2305" w:rsidRDefault="00D93DC2" w:rsidP="00F865B1">
            <w:pPr>
              <w:jc w:val="center"/>
            </w:pPr>
            <w:r>
              <w:t>9</w:t>
            </w:r>
          </w:p>
        </w:tc>
        <w:tc>
          <w:tcPr>
            <w:tcW w:w="1605" w:type="dxa"/>
            <w:vAlign w:val="center"/>
          </w:tcPr>
          <w:p w14:paraId="5194BE83" w14:textId="77777777" w:rsidR="0092433C" w:rsidRPr="002B2305" w:rsidRDefault="0092433C" w:rsidP="00F865B1">
            <w:r>
              <w:t>Circle</w:t>
            </w:r>
          </w:p>
        </w:tc>
        <w:tc>
          <w:tcPr>
            <w:tcW w:w="4465" w:type="dxa"/>
          </w:tcPr>
          <w:p w14:paraId="525D9B47" w14:textId="77777777" w:rsidR="0092433C" w:rsidRDefault="0092433C" w:rsidP="00F865B1">
            <w:r>
              <w:t>EC addressed: sodium</w:t>
            </w:r>
          </w:p>
          <w:p w14:paraId="6C1ADE03" w14:textId="77777777" w:rsidR="0092433C" w:rsidRDefault="0092433C" w:rsidP="00F865B1">
            <w:r>
              <w:t xml:space="preserve">Project: Improvements to waste stream of treatment process used to remove high sodium and other TDS from the raw water. </w:t>
            </w:r>
          </w:p>
          <w:p w14:paraId="5DC41685" w14:textId="77777777" w:rsidR="0092433C" w:rsidRDefault="0092433C" w:rsidP="00F865B1">
            <w:r>
              <w:t>Disadvantaged: Yes</w:t>
            </w:r>
          </w:p>
          <w:p w14:paraId="46A0C8DA" w14:textId="77777777" w:rsidR="0092433C" w:rsidRPr="002B2305" w:rsidRDefault="0092433C" w:rsidP="00F865B1">
            <w:r>
              <w:t>Population: 591</w:t>
            </w:r>
          </w:p>
        </w:tc>
        <w:tc>
          <w:tcPr>
            <w:tcW w:w="2339" w:type="dxa"/>
            <w:vAlign w:val="center"/>
          </w:tcPr>
          <w:p w14:paraId="35C68CDD" w14:textId="3A78FC1F" w:rsidR="0092433C" w:rsidRDefault="0092433C" w:rsidP="00F865B1">
            <w:pPr>
              <w:jc w:val="center"/>
            </w:pPr>
            <w:r>
              <w:t>$</w:t>
            </w:r>
            <w:r w:rsidR="00E041D2">
              <w:t>2,</w:t>
            </w:r>
            <w:r w:rsidR="009E797A">
              <w:t>363,</w:t>
            </w:r>
            <w:r w:rsidR="00E041D2">
              <w:t>000</w:t>
            </w:r>
          </w:p>
          <w:p w14:paraId="2146398D" w14:textId="11143B73" w:rsidR="00E041D2" w:rsidRPr="002B2305" w:rsidRDefault="00E041D2" w:rsidP="00F865B1">
            <w:pPr>
              <w:jc w:val="center"/>
            </w:pPr>
            <w:r>
              <w:t>(construction 2</w:t>
            </w:r>
            <w:r w:rsidRPr="00E041D2">
              <w:rPr>
                <w:vertAlign w:val="superscript"/>
              </w:rPr>
              <w:t>nd</w:t>
            </w:r>
            <w:r>
              <w:t xml:space="preserve"> Phase)</w:t>
            </w:r>
          </w:p>
        </w:tc>
      </w:tr>
      <w:tr w:rsidR="00F865B1" w:rsidRPr="002B2305" w14:paraId="61EBEA7D" w14:textId="77777777" w:rsidTr="00F865B1">
        <w:trPr>
          <w:cantSplit/>
          <w:trHeight w:val="315"/>
        </w:trPr>
        <w:tc>
          <w:tcPr>
            <w:tcW w:w="941" w:type="dxa"/>
            <w:hideMark/>
          </w:tcPr>
          <w:p w14:paraId="2C3EE090" w14:textId="77777777" w:rsidR="00F865B1" w:rsidRPr="002B2305" w:rsidRDefault="00F865B1" w:rsidP="00F865B1">
            <w:bookmarkStart w:id="86" w:name="RANGE!B39"/>
            <w:r w:rsidRPr="002B2305">
              <w:t> </w:t>
            </w:r>
            <w:bookmarkEnd w:id="86"/>
          </w:p>
        </w:tc>
        <w:tc>
          <w:tcPr>
            <w:tcW w:w="1605" w:type="dxa"/>
            <w:hideMark/>
          </w:tcPr>
          <w:p w14:paraId="0339D187" w14:textId="77777777" w:rsidR="00F865B1" w:rsidRPr="002B2305" w:rsidRDefault="00F865B1" w:rsidP="00F865B1">
            <w:pPr>
              <w:rPr>
                <w:b/>
                <w:bCs/>
              </w:rPr>
            </w:pPr>
            <w:r w:rsidRPr="002B2305">
              <w:rPr>
                <w:b/>
                <w:bCs/>
              </w:rPr>
              <w:t>TOTAL</w:t>
            </w:r>
          </w:p>
        </w:tc>
        <w:tc>
          <w:tcPr>
            <w:tcW w:w="4465" w:type="dxa"/>
            <w:hideMark/>
          </w:tcPr>
          <w:p w14:paraId="5C27DA05" w14:textId="77777777" w:rsidR="00F865B1" w:rsidRPr="002B2305" w:rsidRDefault="00F865B1" w:rsidP="00F865B1">
            <w:r w:rsidRPr="002B2305">
              <w:t> </w:t>
            </w:r>
          </w:p>
        </w:tc>
        <w:tc>
          <w:tcPr>
            <w:tcW w:w="2339" w:type="dxa"/>
            <w:vAlign w:val="center"/>
            <w:hideMark/>
          </w:tcPr>
          <w:p w14:paraId="7FE3D193" w14:textId="07463718" w:rsidR="00F865B1" w:rsidRPr="002B2305" w:rsidRDefault="00F865B1" w:rsidP="00F865B1">
            <w:pPr>
              <w:jc w:val="center"/>
              <w:rPr>
                <w:b/>
                <w:bCs/>
              </w:rPr>
            </w:pPr>
            <w:r w:rsidRPr="002B2305">
              <w:rPr>
                <w:b/>
                <w:bCs/>
              </w:rPr>
              <w:t>$</w:t>
            </w:r>
            <w:r w:rsidR="002A4C7B">
              <w:rPr>
                <w:b/>
                <w:bCs/>
              </w:rPr>
              <w:t>19,619,082</w:t>
            </w:r>
          </w:p>
        </w:tc>
      </w:tr>
      <w:bookmarkEnd w:id="84"/>
    </w:tbl>
    <w:p w14:paraId="7F19681D" w14:textId="77777777" w:rsidR="00BE2E25" w:rsidRDefault="00BE2E25" w:rsidP="00177324"/>
    <w:p w14:paraId="1DC6F0A4" w14:textId="76FA659E" w:rsidR="00410B53" w:rsidRPr="00886EFE" w:rsidRDefault="005B2BE4" w:rsidP="00126FE1">
      <w:pPr>
        <w:pStyle w:val="Heading1"/>
      </w:pPr>
      <w:bookmarkStart w:id="87" w:name="_Toc230351779"/>
      <w:r w:rsidRPr="005B2BE4">
        <w:t xml:space="preserve">Summary of Ranking Criteria for DWSRF </w:t>
      </w:r>
      <w:r w:rsidR="00BA2C8F">
        <w:t>EC</w:t>
      </w:r>
      <w:r w:rsidRPr="005B2BE4">
        <w:t xml:space="preserve"> Priority List</w:t>
      </w:r>
      <w:bookmarkEnd w:id="87"/>
    </w:p>
    <w:p w14:paraId="06A08AF4" w14:textId="3B3E2A02" w:rsidR="005874EB" w:rsidRDefault="0079753A" w:rsidP="00FD311A">
      <w:r>
        <w:t xml:space="preserve">When developing Montana’s project </w:t>
      </w:r>
      <w:r w:rsidR="00043B93">
        <w:t xml:space="preserve">priority list </w:t>
      </w:r>
      <w:r>
        <w:t>ranking criteria f</w:t>
      </w:r>
      <w:r w:rsidR="00B42112">
        <w:t>or</w:t>
      </w:r>
      <w:r w:rsidR="00BA2C8F">
        <w:t xml:space="preserve"> EC </w:t>
      </w:r>
      <w:r>
        <w:t>grant funds</w:t>
      </w:r>
      <w:r w:rsidR="00BA2C8F">
        <w:t xml:space="preserve">, factors including </w:t>
      </w:r>
      <w:r w:rsidR="005B4B1B">
        <w:t>prioritiz</w:t>
      </w:r>
      <w:r w:rsidR="009D70B8">
        <w:t>ing certain</w:t>
      </w:r>
      <w:r w:rsidR="00B42112">
        <w:t xml:space="preserve"> EC</w:t>
      </w:r>
      <w:r w:rsidR="005B4B1B">
        <w:t>s</w:t>
      </w:r>
      <w:r w:rsidR="00BA2C8F">
        <w:t xml:space="preserve">, </w:t>
      </w:r>
      <w:r w:rsidR="0020205F">
        <w:t>disadvantaged communit</w:t>
      </w:r>
      <w:r w:rsidR="00612C18">
        <w:t>y status</w:t>
      </w:r>
      <w:r w:rsidR="00B42112">
        <w:t>, readiness to proceed</w:t>
      </w:r>
      <w:r w:rsidR="00BA2C8F">
        <w:t xml:space="preserve">, </w:t>
      </w:r>
      <w:r w:rsidR="00781238">
        <w:t xml:space="preserve">whether a project has closed on an engineering loan, is under contract, or has otherwise </w:t>
      </w:r>
      <w:r w:rsidR="00AF2A8C">
        <w:t>begun</w:t>
      </w:r>
      <w:r w:rsidR="00781238">
        <w:t xml:space="preserve"> construction (but has not yet closed on an EC loan), </w:t>
      </w:r>
      <w:r w:rsidR="00B42112">
        <w:t xml:space="preserve">and </w:t>
      </w:r>
      <w:r w:rsidR="00BA2C8F">
        <w:t>consolidation of two or more systems</w:t>
      </w:r>
      <w:r w:rsidR="00B42112">
        <w:t xml:space="preserve"> were </w:t>
      </w:r>
      <w:r w:rsidR="00043B93">
        <w:t>considered</w:t>
      </w:r>
      <w:r w:rsidR="00B42112">
        <w:t xml:space="preserve">. </w:t>
      </w:r>
    </w:p>
    <w:p w14:paraId="7AC6EC89" w14:textId="77777777" w:rsidR="005874EB" w:rsidRDefault="005874EB" w:rsidP="00FD311A"/>
    <w:p w14:paraId="6F3C825E" w14:textId="00D1A05A" w:rsidR="009D70B8" w:rsidRDefault="0079753A" w:rsidP="00FD311A">
      <w:r>
        <w:t xml:space="preserve">Regarding </w:t>
      </w:r>
      <w:r w:rsidR="005B4B1B">
        <w:t xml:space="preserve">prioritizing certain ECs, </w:t>
      </w:r>
      <w:bookmarkStart w:id="88" w:name="_Hlk135140330"/>
      <w:r w:rsidR="004529DF">
        <w:t>while states have the flexibility to</w:t>
      </w:r>
      <w:r w:rsidR="00043B93">
        <w:t xml:space="preserve"> use EC funds for</w:t>
      </w:r>
      <w:r w:rsidR="004529DF">
        <w:t xml:space="preserve"> projects </w:t>
      </w:r>
      <w:r w:rsidR="00606671">
        <w:t>that address</w:t>
      </w:r>
      <w:r w:rsidR="004529DF">
        <w:t xml:space="preserve"> </w:t>
      </w:r>
      <w:r w:rsidR="00606671">
        <w:t>a</w:t>
      </w:r>
      <w:r w:rsidR="004529DF">
        <w:t xml:space="preserve"> contaminant on the CCLs, </w:t>
      </w:r>
      <w:r w:rsidR="007F250E">
        <w:t>t</w:t>
      </w:r>
      <w:r w:rsidR="005B4B1B">
        <w:t>he BIL</w:t>
      </w:r>
      <w:r w:rsidR="009D70B8">
        <w:t xml:space="preserve"> </w:t>
      </w:r>
      <w:bookmarkEnd w:id="88"/>
      <w:r w:rsidR="009D70B8">
        <w:t xml:space="preserve">makes it clear that </w:t>
      </w:r>
      <w:r w:rsidR="00162C36">
        <w:t xml:space="preserve">the Congressional intent of these funds </w:t>
      </w:r>
      <w:r w:rsidR="00F977AA">
        <w:t xml:space="preserve">is </w:t>
      </w:r>
      <w:r w:rsidR="00162C36">
        <w:t xml:space="preserve">to focus on PFAS-related projects. </w:t>
      </w:r>
      <w:r w:rsidR="009C1630">
        <w:t>As such, projects with sources containing PFAS receive</w:t>
      </w:r>
      <w:r w:rsidR="0054317A">
        <w:t>d</w:t>
      </w:r>
      <w:r w:rsidR="009C1630">
        <w:t xml:space="preserve"> the highest points for this criterion.</w:t>
      </w:r>
      <w:r w:rsidR="0054317A">
        <w:t xml:space="preserve"> A</w:t>
      </w:r>
      <w:r w:rsidR="00F977AA">
        <w:t xml:space="preserve">n emphasis </w:t>
      </w:r>
      <w:r w:rsidR="0054317A">
        <w:t xml:space="preserve">was also </w:t>
      </w:r>
      <w:r w:rsidR="00F977AA">
        <w:t>placed on projects to address manganese</w:t>
      </w:r>
      <w:r w:rsidR="0054317A">
        <w:t xml:space="preserve">. This was based </w:t>
      </w:r>
      <w:r w:rsidR="0054317A">
        <w:lastRenderedPageBreak/>
        <w:t xml:space="preserve">on sample results from </w:t>
      </w:r>
      <w:r w:rsidR="005C09F1">
        <w:t>a</w:t>
      </w:r>
      <w:r w:rsidR="00AF78F3">
        <w:t>n</w:t>
      </w:r>
      <w:r w:rsidR="005C09F1">
        <w:t xml:space="preserve"> </w:t>
      </w:r>
      <w:r w:rsidR="00AF78F3">
        <w:t xml:space="preserve">on-going </w:t>
      </w:r>
      <w:r w:rsidR="005C09F1">
        <w:t xml:space="preserve">state-wide sample collection effort </w:t>
      </w:r>
      <w:r w:rsidR="007F250E">
        <w:t>of</w:t>
      </w:r>
      <w:r w:rsidR="009D70B8">
        <w:t xml:space="preserve"> </w:t>
      </w:r>
      <w:r w:rsidR="001441FB">
        <w:t>regulated</w:t>
      </w:r>
      <w:r w:rsidR="00043B93">
        <w:t xml:space="preserve"> </w:t>
      </w:r>
      <w:r w:rsidR="009D70B8">
        <w:t xml:space="preserve">drinking water sources </w:t>
      </w:r>
      <w:r w:rsidR="00F977AA">
        <w:t xml:space="preserve">that </w:t>
      </w:r>
      <w:r w:rsidR="009D70B8">
        <w:t>determine</w:t>
      </w:r>
      <w:r w:rsidR="005C09F1">
        <w:t>d</w:t>
      </w:r>
      <w:r w:rsidR="009D70B8">
        <w:t xml:space="preserve"> </w:t>
      </w:r>
      <w:r w:rsidR="005C09F1">
        <w:t xml:space="preserve">that several </w:t>
      </w:r>
      <w:r w:rsidR="00B9502A">
        <w:t>sources</w:t>
      </w:r>
      <w:r w:rsidR="00096B36">
        <w:t xml:space="preserve"> in Montana</w:t>
      </w:r>
      <w:r w:rsidR="00B9502A">
        <w:t xml:space="preserve"> </w:t>
      </w:r>
      <w:r w:rsidR="009D70B8">
        <w:t xml:space="preserve">exceed the </w:t>
      </w:r>
      <w:r w:rsidR="00B3396B">
        <w:t>EPA’s</w:t>
      </w:r>
      <w:r w:rsidR="00B42112">
        <w:t xml:space="preserve"> manganese health advisory</w:t>
      </w:r>
      <w:r w:rsidR="00B3396B">
        <w:t xml:space="preserve"> </w:t>
      </w:r>
      <w:r w:rsidR="000F1C62">
        <w:t xml:space="preserve">(HA) </w:t>
      </w:r>
      <w:r w:rsidR="00B3396B">
        <w:t>of 0.3 mg/L</w:t>
      </w:r>
      <w:r w:rsidR="009D70B8">
        <w:t>.</w:t>
      </w:r>
      <w:r w:rsidR="005111F7">
        <w:t xml:space="preserve"> </w:t>
      </w:r>
      <w:r w:rsidR="00096B36">
        <w:t>In addition</w:t>
      </w:r>
      <w:r w:rsidR="005111F7">
        <w:t xml:space="preserve">, the State of Montana </w:t>
      </w:r>
      <w:r w:rsidR="00F977AA">
        <w:t xml:space="preserve">has </w:t>
      </w:r>
      <w:r w:rsidR="005111F7">
        <w:t>issued a health-based guideline for manganese of 0.1 mg/L for children ages 6 years and under.</w:t>
      </w:r>
      <w:r w:rsidR="00B42112">
        <w:t xml:space="preserve"> </w:t>
      </w:r>
      <w:r w:rsidR="00096B36">
        <w:t>C</w:t>
      </w:r>
      <w:r w:rsidR="005111F7">
        <w:t xml:space="preserve">onsideration was also given to ECs </w:t>
      </w:r>
      <w:r w:rsidR="00F977AA">
        <w:t>with</w:t>
      </w:r>
      <w:r w:rsidR="005111F7">
        <w:t xml:space="preserve"> </w:t>
      </w:r>
      <w:r w:rsidR="0054317A">
        <w:t>exceedances of an established</w:t>
      </w:r>
      <w:r w:rsidR="005111F7">
        <w:t xml:space="preserve"> SMCL, health advisory, or state-specific standard.</w:t>
      </w:r>
      <w:r w:rsidR="00AB0961">
        <w:t xml:space="preserve"> Finally, points </w:t>
      </w:r>
      <w:r w:rsidR="0054317A">
        <w:t>were</w:t>
      </w:r>
      <w:r w:rsidR="00AB0961">
        <w:t xml:space="preserve"> given for ECs that don’t meet any of the first three categories. Note, a project only receive</w:t>
      </w:r>
      <w:r w:rsidR="0054317A">
        <w:t>d</w:t>
      </w:r>
      <w:r w:rsidR="00AB0961">
        <w:t xml:space="preserve"> points for one of the four categories</w:t>
      </w:r>
      <w:r w:rsidR="00754E6E">
        <w:t xml:space="preserve"> under </w:t>
      </w:r>
      <w:r w:rsidR="000C0EB6">
        <w:t xml:space="preserve">the </w:t>
      </w:r>
      <w:r w:rsidR="00754E6E">
        <w:t>EC Priority Type</w:t>
      </w:r>
      <w:r w:rsidR="000C0EB6">
        <w:t xml:space="preserve"> criterion</w:t>
      </w:r>
      <w:r w:rsidR="00AB0961">
        <w:t xml:space="preserve">, whichever </w:t>
      </w:r>
      <w:r w:rsidR="00754E6E">
        <w:t>result</w:t>
      </w:r>
      <w:r w:rsidR="0054317A">
        <w:t>ed</w:t>
      </w:r>
      <w:r w:rsidR="00754E6E">
        <w:t xml:space="preserve"> in the </w:t>
      </w:r>
      <w:r w:rsidR="00AB0961">
        <w:t>highest</w:t>
      </w:r>
      <w:r w:rsidR="00754E6E">
        <w:t xml:space="preserve"> points</w:t>
      </w:r>
      <w:r w:rsidR="00AB0961">
        <w:t xml:space="preserve"> (e.g., a system with manganese above the SMCL and sulfate above the SMCL in their source water only receive</w:t>
      </w:r>
      <w:r w:rsidR="0054317A">
        <w:t>d</w:t>
      </w:r>
      <w:r w:rsidR="00AB0961">
        <w:t xml:space="preserve"> points for manganese above the SMCL). </w:t>
      </w:r>
    </w:p>
    <w:p w14:paraId="1C45EC72" w14:textId="77777777" w:rsidR="00AB0961" w:rsidRDefault="00AB0961" w:rsidP="00FD311A"/>
    <w:p w14:paraId="37608443" w14:textId="77777777" w:rsidR="005874EB" w:rsidRDefault="005874EB" w:rsidP="00FD311A">
      <w:r>
        <w:t xml:space="preserve">Since one of </w:t>
      </w:r>
      <w:r w:rsidR="00612C18">
        <w:t xml:space="preserve">the BILs </w:t>
      </w:r>
      <w:r>
        <w:t xml:space="preserve">key priorities is to increase water infrastructure investments in </w:t>
      </w:r>
      <w:r w:rsidR="00612C18">
        <w:t xml:space="preserve">disadvantaged communities, projects for communities that are considered disadvantaged </w:t>
      </w:r>
      <w:r w:rsidR="00C347E1">
        <w:t>were</w:t>
      </w:r>
      <w:r w:rsidR="00606671">
        <w:t xml:space="preserve"> awarded</w:t>
      </w:r>
      <w:r w:rsidR="00612C18">
        <w:t xml:space="preserve"> points to </w:t>
      </w:r>
      <w:r w:rsidR="00606671">
        <w:t xml:space="preserve">give </w:t>
      </w:r>
      <w:r w:rsidR="00C347E1">
        <w:t xml:space="preserve">those communities preference </w:t>
      </w:r>
      <w:r w:rsidR="00612C18">
        <w:t xml:space="preserve">for the EC funds. </w:t>
      </w:r>
    </w:p>
    <w:p w14:paraId="0CFFF659" w14:textId="77777777" w:rsidR="005874EB" w:rsidRDefault="005874EB" w:rsidP="00FD311A"/>
    <w:p w14:paraId="0236DCA7" w14:textId="05015F4F" w:rsidR="005874EB" w:rsidRDefault="005874EB" w:rsidP="00FD311A">
      <w:r>
        <w:t>Du</w:t>
      </w:r>
      <w:r w:rsidR="0006589E">
        <w:t xml:space="preserve">e to the principal forgiveness component </w:t>
      </w:r>
      <w:r>
        <w:t xml:space="preserve">and the finite nature </w:t>
      </w:r>
      <w:r w:rsidR="002D15EC">
        <w:t xml:space="preserve">of the EC funds </w:t>
      </w:r>
      <w:r w:rsidR="0006589E">
        <w:t xml:space="preserve">(the BIL </w:t>
      </w:r>
      <w:r>
        <w:t xml:space="preserve">funds are limited to </w:t>
      </w:r>
      <w:r w:rsidR="0006589E">
        <w:t>5 years or until FFY 2026</w:t>
      </w:r>
      <w:r>
        <w:t>)</w:t>
      </w:r>
      <w:r w:rsidR="002D15EC">
        <w:t>,</w:t>
      </w:r>
      <w:r w:rsidRPr="005874EB">
        <w:t xml:space="preserve"> </w:t>
      </w:r>
      <w:r>
        <w:t>a high demand for EC funds is anticipated. T</w:t>
      </w:r>
      <w:r w:rsidR="00392C00">
        <w:t xml:space="preserve">herefore, </w:t>
      </w:r>
      <w:r w:rsidR="00612C18">
        <w:t>r</w:t>
      </w:r>
      <w:r w:rsidR="00182D17">
        <w:t xml:space="preserve">eadiness to proceed was </w:t>
      </w:r>
      <w:r w:rsidR="00D554F0">
        <w:t>included in the ranking criteria</w:t>
      </w:r>
      <w:r w:rsidR="00612C18">
        <w:t xml:space="preserve"> and </w:t>
      </w:r>
      <w:r w:rsidR="00C347E1">
        <w:t>points were awarded</w:t>
      </w:r>
      <w:r w:rsidR="00612C18">
        <w:t xml:space="preserve"> to </w:t>
      </w:r>
      <w:r w:rsidR="00D554F0">
        <w:t>EC projects that ha</w:t>
      </w:r>
      <w:r w:rsidR="00C347E1">
        <w:t>ve</w:t>
      </w:r>
      <w:r w:rsidR="00D554F0">
        <w:t xml:space="preserve"> DEQ-approved plans and specifications or </w:t>
      </w:r>
      <w:r w:rsidR="00C347E1">
        <w:t>are</w:t>
      </w:r>
      <w:r w:rsidR="00D554F0">
        <w:t xml:space="preserve"> likely to begin construction </w:t>
      </w:r>
      <w:r w:rsidR="00162C36">
        <w:t>with</w:t>
      </w:r>
      <w:r w:rsidR="00182D17">
        <w:t xml:space="preserve">in the </w:t>
      </w:r>
      <w:r w:rsidR="00162C36">
        <w:t xml:space="preserve">next </w:t>
      </w:r>
      <w:r w:rsidR="005111F7">
        <w:t xml:space="preserve">18 </w:t>
      </w:r>
      <w:r w:rsidR="00162C36">
        <w:t>months</w:t>
      </w:r>
      <w:r w:rsidR="00182D17">
        <w:t xml:space="preserve">. </w:t>
      </w:r>
    </w:p>
    <w:p w14:paraId="751AD182" w14:textId="77777777" w:rsidR="005874EB" w:rsidRDefault="005874EB" w:rsidP="00FD311A"/>
    <w:p w14:paraId="46F80442" w14:textId="0C80EB15" w:rsidR="00781238" w:rsidRDefault="00781238" w:rsidP="00FD311A">
      <w:r>
        <w:t>Projects where an EC engineering loan has been issued, the project is under contract, or construction has begun but the borrower has not yet closed on an EC loan</w:t>
      </w:r>
      <w:r w:rsidR="009C6077">
        <w:t>,</w:t>
      </w:r>
      <w:r>
        <w:t xml:space="preserve"> were </w:t>
      </w:r>
      <w:r w:rsidR="00D91AA1">
        <w:t xml:space="preserve">awarded points since DWSRF has already committed EC funds to the project or the project is already in the construction phase and is utilizing other funds before closing on a DWSRF EC loan. </w:t>
      </w:r>
      <w:r>
        <w:t xml:space="preserve">Note, if points </w:t>
      </w:r>
      <w:r w:rsidR="00D91AA1">
        <w:t>were</w:t>
      </w:r>
      <w:r>
        <w:t xml:space="preserve"> awarded for this criterion, points were not also awarded for readiness to proceed.</w:t>
      </w:r>
    </w:p>
    <w:p w14:paraId="0FC858B4" w14:textId="77777777" w:rsidR="00781238" w:rsidRDefault="00781238" w:rsidP="00FD311A"/>
    <w:p w14:paraId="243D44F7" w14:textId="12EA70DA" w:rsidR="00B42112" w:rsidRDefault="00182D17" w:rsidP="00FD311A">
      <w:r>
        <w:t>Consolidation of systems to address water quality and/or T</w:t>
      </w:r>
      <w:r w:rsidR="00C244B7">
        <w:t>FM</w:t>
      </w:r>
      <w:r>
        <w:t xml:space="preserve"> issues </w:t>
      </w:r>
      <w:r w:rsidR="0079753A">
        <w:t xml:space="preserve">has been a </w:t>
      </w:r>
      <w:r w:rsidR="00B3396B">
        <w:t>long-standing</w:t>
      </w:r>
      <w:r w:rsidR="0079753A">
        <w:t xml:space="preserve"> g</w:t>
      </w:r>
      <w:r>
        <w:t xml:space="preserve">oal of the DWSRF </w:t>
      </w:r>
      <w:r w:rsidR="0079753A">
        <w:t xml:space="preserve">program </w:t>
      </w:r>
      <w:r>
        <w:t>and</w:t>
      </w:r>
      <w:r w:rsidR="0079753A">
        <w:t>,</w:t>
      </w:r>
      <w:r>
        <w:t xml:space="preserve"> therefore, was considered when ranking</w:t>
      </w:r>
      <w:r w:rsidR="00D554F0">
        <w:t xml:space="preserve"> EC</w:t>
      </w:r>
      <w:r>
        <w:t xml:space="preserve"> projects.  </w:t>
      </w:r>
      <w:r w:rsidR="00B42112">
        <w:t xml:space="preserve"> </w:t>
      </w:r>
      <w:r w:rsidR="00BA2C8F">
        <w:t xml:space="preserve"> </w:t>
      </w:r>
    </w:p>
    <w:p w14:paraId="1C572EFD" w14:textId="77777777" w:rsidR="00410B53" w:rsidRPr="000D3691" w:rsidRDefault="00410B53" w:rsidP="00FD311A">
      <w:pPr>
        <w:rPr>
          <w:sz w:val="20"/>
          <w:szCs w:val="20"/>
        </w:rPr>
      </w:pPr>
    </w:p>
    <w:p w14:paraId="79145171" w14:textId="2BD993B0" w:rsidR="00410B53" w:rsidRDefault="00410B53" w:rsidP="00142878">
      <w:r>
        <w:t xml:space="preserve">A summary of the </w:t>
      </w:r>
      <w:r w:rsidRPr="00142878">
        <w:t>ranking</w:t>
      </w:r>
      <w:r>
        <w:t xml:space="preserve"> criteria and scoring is listed below.</w:t>
      </w:r>
      <w:r w:rsidR="00B41BF0">
        <w:t xml:space="preserve"> </w:t>
      </w:r>
      <w:r w:rsidR="005874EB">
        <w:t xml:space="preserve">Details regarding </w:t>
      </w:r>
      <w:r>
        <w:t xml:space="preserve">scoring criteria </w:t>
      </w:r>
      <w:r w:rsidR="00043B93">
        <w:t xml:space="preserve">as well as project priority list bypass procedures can be found in </w:t>
      </w:r>
      <w:r w:rsidRPr="00383A37">
        <w:rPr>
          <w:b/>
        </w:rPr>
        <w:t xml:space="preserve">Appendix </w:t>
      </w:r>
      <w:r w:rsidR="00043B93">
        <w:rPr>
          <w:b/>
        </w:rPr>
        <w:t>1</w:t>
      </w:r>
      <w:r>
        <w:t>.</w:t>
      </w:r>
    </w:p>
    <w:p w14:paraId="1F232D9E" w14:textId="77777777" w:rsidR="001B1FB5" w:rsidRPr="00882A45" w:rsidRDefault="001B1FB5" w:rsidP="007761C6">
      <w:pPr>
        <w:rPr>
          <w:b/>
          <w:bCs/>
        </w:rPr>
      </w:pPr>
      <w:bookmarkStart w:id="89" w:name="_Toc136072099"/>
      <w:bookmarkStart w:id="90" w:name="_Toc387672747"/>
    </w:p>
    <w:p w14:paraId="67EE8763" w14:textId="0D8E175E" w:rsidR="00410B53" w:rsidRPr="007761C6" w:rsidRDefault="00410B53" w:rsidP="007761C6">
      <w:pPr>
        <w:rPr>
          <w:b/>
          <w:bCs/>
          <w:sz w:val="28"/>
          <w:szCs w:val="28"/>
        </w:rPr>
      </w:pPr>
      <w:r w:rsidRPr="007761C6">
        <w:rPr>
          <w:b/>
          <w:bCs/>
          <w:sz w:val="28"/>
          <w:szCs w:val="28"/>
        </w:rPr>
        <w:t xml:space="preserve">Summary of Ranking Criteria for </w:t>
      </w:r>
      <w:r w:rsidR="00C43370" w:rsidRPr="007761C6">
        <w:rPr>
          <w:b/>
          <w:bCs/>
          <w:sz w:val="28"/>
          <w:szCs w:val="28"/>
        </w:rPr>
        <w:t>DW</w:t>
      </w:r>
      <w:r w:rsidRPr="007761C6">
        <w:rPr>
          <w:b/>
          <w:bCs/>
          <w:sz w:val="28"/>
          <w:szCs w:val="28"/>
        </w:rPr>
        <w:t>SRF Priority List</w:t>
      </w:r>
      <w:bookmarkEnd w:id="89"/>
      <w:bookmarkEnd w:id="90"/>
    </w:p>
    <w:p w14:paraId="6D83AB83" w14:textId="77777777" w:rsidR="007761C6" w:rsidRPr="00B93053" w:rsidRDefault="007761C6" w:rsidP="007761C6"/>
    <w:p w14:paraId="767DEA9E" w14:textId="5FF10577" w:rsidR="00BA2C8F" w:rsidRDefault="00B42112" w:rsidP="00BA2C8F">
      <w:pPr>
        <w:pStyle w:val="ListParagraph"/>
        <w:numPr>
          <w:ilvl w:val="0"/>
          <w:numId w:val="13"/>
        </w:numPr>
      </w:pPr>
      <w:bookmarkStart w:id="91" w:name="_Hlk162614540"/>
      <w:r>
        <w:t xml:space="preserve">EC </w:t>
      </w:r>
      <w:r w:rsidR="005B4B1B">
        <w:t>Priority Type</w:t>
      </w:r>
    </w:p>
    <w:p w14:paraId="579E9D18" w14:textId="32BA2C3A" w:rsidR="00BA2C8F" w:rsidRDefault="00BA2C8F" w:rsidP="00BA2C8F">
      <w:pPr>
        <w:pStyle w:val="ListParagraph"/>
        <w:numPr>
          <w:ilvl w:val="0"/>
          <w:numId w:val="15"/>
        </w:numPr>
      </w:pPr>
      <w:r>
        <w:t xml:space="preserve">PFAS - 60 points </w:t>
      </w:r>
    </w:p>
    <w:p w14:paraId="69D2D555" w14:textId="471CADF8" w:rsidR="001B1FB5" w:rsidRPr="00F264AC" w:rsidRDefault="00BA2C8F" w:rsidP="00BA2C8F">
      <w:pPr>
        <w:pStyle w:val="ListParagraph"/>
        <w:numPr>
          <w:ilvl w:val="0"/>
          <w:numId w:val="15"/>
        </w:numPr>
      </w:pPr>
      <w:r w:rsidRPr="00F264AC">
        <w:t>Manganese</w:t>
      </w:r>
      <w:r w:rsidR="00B3396B" w:rsidRPr="00F264AC">
        <w:t xml:space="preserve"> above </w:t>
      </w:r>
      <w:r w:rsidR="001B1FB5" w:rsidRPr="00F264AC">
        <w:t xml:space="preserve">SMCL </w:t>
      </w:r>
      <w:r w:rsidR="00B3396B" w:rsidRPr="00F264AC">
        <w:t xml:space="preserve">of </w:t>
      </w:r>
      <w:r w:rsidR="001B1FB5" w:rsidRPr="00F264AC">
        <w:t>0.05</w:t>
      </w:r>
      <w:r w:rsidR="00B3396B" w:rsidRPr="00F264AC">
        <w:t xml:space="preserve"> mg/L</w:t>
      </w:r>
      <w:r w:rsidRPr="00F264AC">
        <w:t xml:space="preserve"> </w:t>
      </w:r>
      <w:r w:rsidR="001B1FB5" w:rsidRPr="00F264AC">
        <w:t>–</w:t>
      </w:r>
      <w:r w:rsidRPr="00F264AC">
        <w:t xml:space="preserve"> </w:t>
      </w:r>
      <w:r w:rsidR="00D34548" w:rsidRPr="00F264AC">
        <w:t>4</w:t>
      </w:r>
      <w:r w:rsidRPr="00F264AC">
        <w:t>0 points</w:t>
      </w:r>
    </w:p>
    <w:p w14:paraId="600A0A64" w14:textId="41717080" w:rsidR="001B1FB5" w:rsidRPr="00F264AC" w:rsidRDefault="001B1FB5" w:rsidP="006A4C63">
      <w:pPr>
        <w:pStyle w:val="ListParagraph"/>
        <w:numPr>
          <w:ilvl w:val="0"/>
          <w:numId w:val="15"/>
        </w:numPr>
      </w:pPr>
      <w:r w:rsidRPr="00F264AC">
        <w:t xml:space="preserve">EC other than manganese above SMCL, HA, or state-specified standard </w:t>
      </w:r>
      <w:r w:rsidR="00F264AC">
        <w:t xml:space="preserve">– </w:t>
      </w:r>
      <w:r w:rsidRPr="00F264AC">
        <w:t>10 points</w:t>
      </w:r>
    </w:p>
    <w:p w14:paraId="7AFD788F" w14:textId="056FB1E6" w:rsidR="00BA2C8F" w:rsidRPr="00F264AC" w:rsidRDefault="001B1FB5" w:rsidP="00BA2C8F">
      <w:pPr>
        <w:pStyle w:val="ListParagraph"/>
        <w:numPr>
          <w:ilvl w:val="0"/>
          <w:numId w:val="15"/>
        </w:numPr>
      </w:pPr>
      <w:r w:rsidRPr="00F264AC">
        <w:t>Known EC if no other EC priority type category applies – 5 points</w:t>
      </w:r>
      <w:r w:rsidR="00BA2C8F" w:rsidRPr="00F264AC">
        <w:t xml:space="preserve"> </w:t>
      </w:r>
    </w:p>
    <w:p w14:paraId="5FEC4A6B" w14:textId="77777777" w:rsidR="00F858F2" w:rsidRPr="000D3691" w:rsidRDefault="00F858F2" w:rsidP="00F858F2">
      <w:pPr>
        <w:rPr>
          <w:sz w:val="20"/>
          <w:szCs w:val="20"/>
        </w:rPr>
      </w:pPr>
    </w:p>
    <w:p w14:paraId="473DDDB6" w14:textId="324ACE66" w:rsidR="00BA2C8F" w:rsidRDefault="00BA2C8F" w:rsidP="00BA2C8F">
      <w:pPr>
        <w:pStyle w:val="ListParagraph"/>
        <w:numPr>
          <w:ilvl w:val="0"/>
          <w:numId w:val="13"/>
        </w:numPr>
      </w:pPr>
      <w:r>
        <w:t xml:space="preserve">Disadvantaged Community Status - </w:t>
      </w:r>
      <w:r w:rsidR="001B1FB5">
        <w:t xml:space="preserve">30 </w:t>
      </w:r>
      <w:r>
        <w:t xml:space="preserve">points </w:t>
      </w:r>
    </w:p>
    <w:p w14:paraId="3F575697" w14:textId="77777777" w:rsidR="00BA2C8F" w:rsidRDefault="00BA2C8F" w:rsidP="00BA2C8F">
      <w:pPr>
        <w:ind w:left="360"/>
      </w:pPr>
    </w:p>
    <w:p w14:paraId="6B87B745" w14:textId="473BC95E" w:rsidR="00BA2C8F" w:rsidRDefault="00BA2C8F" w:rsidP="00BA2C8F">
      <w:pPr>
        <w:pStyle w:val="ListParagraph"/>
        <w:numPr>
          <w:ilvl w:val="0"/>
          <w:numId w:val="13"/>
        </w:numPr>
      </w:pPr>
      <w:r>
        <w:t xml:space="preserve">Readiness to Proceed – 30 points </w:t>
      </w:r>
    </w:p>
    <w:p w14:paraId="0E5E3C45" w14:textId="77777777" w:rsidR="00BA2C8F" w:rsidRDefault="00BA2C8F" w:rsidP="00BA2C8F">
      <w:pPr>
        <w:ind w:left="360"/>
      </w:pPr>
    </w:p>
    <w:p w14:paraId="15A2168C" w14:textId="3E7E7A3C" w:rsidR="00990799" w:rsidRDefault="00990799" w:rsidP="00B62117">
      <w:pPr>
        <w:pStyle w:val="ListParagraph"/>
        <w:numPr>
          <w:ilvl w:val="0"/>
          <w:numId w:val="13"/>
        </w:numPr>
      </w:pPr>
      <w:r>
        <w:t xml:space="preserve">Closed on an </w:t>
      </w:r>
      <w:r w:rsidR="00B13636">
        <w:t xml:space="preserve">EC </w:t>
      </w:r>
      <w:r>
        <w:t>engineering loan, under contract, or in construction – 60 points</w:t>
      </w:r>
    </w:p>
    <w:p w14:paraId="0647A8D1" w14:textId="77777777" w:rsidR="00990799" w:rsidRDefault="00990799" w:rsidP="00990799">
      <w:pPr>
        <w:pStyle w:val="ListParagraph"/>
      </w:pPr>
    </w:p>
    <w:p w14:paraId="0D90D5A5" w14:textId="6096D624" w:rsidR="00F858F2" w:rsidRDefault="00410B53" w:rsidP="00B62117">
      <w:pPr>
        <w:pStyle w:val="ListParagraph"/>
        <w:numPr>
          <w:ilvl w:val="0"/>
          <w:numId w:val="13"/>
        </w:numPr>
      </w:pPr>
      <w:r w:rsidRPr="00FD311A">
        <w:t>Construction</w:t>
      </w:r>
      <w:r>
        <w:t xml:space="preserve"> of a regional public water supply </w:t>
      </w:r>
      <w:r w:rsidR="00AB0381">
        <w:t xml:space="preserve">(PWS) </w:t>
      </w:r>
      <w:r>
        <w:t xml:space="preserve">that would serve two or more existing </w:t>
      </w:r>
      <w:r w:rsidR="00AB0381">
        <w:t>PWSs</w:t>
      </w:r>
      <w:r>
        <w:t xml:space="preserve"> - </w:t>
      </w:r>
      <w:r w:rsidR="001B1FB5">
        <w:t xml:space="preserve">10 </w:t>
      </w:r>
      <w:r>
        <w:t>points</w:t>
      </w:r>
    </w:p>
    <w:bookmarkEnd w:id="91"/>
    <w:p w14:paraId="45E99EC8" w14:textId="2E7D2970" w:rsidR="00942D21" w:rsidRDefault="00942D21" w:rsidP="00942D21">
      <w:pPr>
        <w:pStyle w:val="ListParagraph"/>
      </w:pPr>
    </w:p>
    <w:p w14:paraId="1A6EB002" w14:textId="2D476981" w:rsidR="00410B53" w:rsidRDefault="005B2BE4" w:rsidP="00126FE1">
      <w:pPr>
        <w:pStyle w:val="Heading1"/>
      </w:pPr>
      <w:bookmarkStart w:id="92" w:name="_Toc136072100"/>
      <w:bookmarkStart w:id="93" w:name="_Toc387672748"/>
      <w:bookmarkStart w:id="94" w:name="_Toc230351780"/>
      <w:r>
        <w:lastRenderedPageBreak/>
        <w:t xml:space="preserve">EC Grant </w:t>
      </w:r>
      <w:r w:rsidR="00410B53">
        <w:t>Financial Status</w:t>
      </w:r>
      <w:bookmarkEnd w:id="92"/>
      <w:bookmarkEnd w:id="93"/>
      <w:bookmarkEnd w:id="94"/>
    </w:p>
    <w:p w14:paraId="21E1A351" w14:textId="6E9D4589" w:rsidR="00E01BF6" w:rsidRDefault="005B2BE4" w:rsidP="005B2BE4">
      <w:pPr>
        <w:rPr>
          <w:spacing w:val="-1"/>
        </w:rPr>
      </w:pPr>
      <w:bookmarkStart w:id="95" w:name="_Toc136072102"/>
      <w:bookmarkStart w:id="96" w:name="_Toc387672750"/>
      <w:bookmarkStart w:id="97" w:name="_Hlk100228907"/>
      <w:bookmarkStart w:id="98" w:name="_Toc136072109"/>
      <w:bookmarkStart w:id="99" w:name="_Toc387672752"/>
      <w:r>
        <w:t xml:space="preserve">Unlike the base and supplemental capitalization grants, the BIL waives the requirement in section 1452(e) of the SDWA to provide state match for the EC grant. As such, states are not required to match the federal funds with state funds and the total funds available to Montana for EC projects and associated activities is solely based on the amount of the FFY </w:t>
      </w:r>
      <w:r w:rsidR="00B1717C">
        <w:t xml:space="preserve">2026 </w:t>
      </w:r>
      <w:r w:rsidR="00C41CF6">
        <w:t>EC</w:t>
      </w:r>
      <w:r>
        <w:t xml:space="preserve"> grant which is $</w:t>
      </w:r>
      <w:r w:rsidR="00067ED9">
        <w:t>7,640</w:t>
      </w:r>
      <w:r w:rsidR="004A0A41">
        <w:t>,000</w:t>
      </w:r>
      <w:r>
        <w:t xml:space="preserve">. </w:t>
      </w:r>
      <w:r w:rsidR="00C41CF6">
        <w:t xml:space="preserve">In addition, the </w:t>
      </w:r>
      <w:r w:rsidR="00C41CF6">
        <w:rPr>
          <w:spacing w:val="-1"/>
        </w:rPr>
        <w:t xml:space="preserve">BIL stipulates that 100% of the EC grant funds be provided as principal forgiveness or grants. Montana will provide the funds as principal forgiveness. </w:t>
      </w:r>
    </w:p>
    <w:p w14:paraId="708FFC0B" w14:textId="77777777" w:rsidR="00E01BF6" w:rsidRDefault="00E01BF6" w:rsidP="005B2BE4">
      <w:pPr>
        <w:rPr>
          <w:spacing w:val="-1"/>
        </w:rPr>
      </w:pPr>
    </w:p>
    <w:p w14:paraId="3D117AA9" w14:textId="5DD8B885" w:rsidR="00E01BF6" w:rsidRDefault="00E01BF6" w:rsidP="00E01BF6">
      <w:pPr>
        <w:rPr>
          <w:rFonts w:asciiTheme="minorHAnsi" w:hAnsiTheme="minorHAnsi" w:cstheme="minorHAnsi"/>
        </w:rPr>
      </w:pPr>
      <w:r>
        <w:t>States are given flexibility to set aside specified amounts of the EC grant</w:t>
      </w:r>
      <w:r>
        <w:rPr>
          <w:spacing w:val="-1"/>
        </w:rPr>
        <w:t xml:space="preserve"> </w:t>
      </w:r>
      <w:r>
        <w:t>for</w:t>
      </w:r>
      <w:r>
        <w:rPr>
          <w:spacing w:val="-4"/>
        </w:rPr>
        <w:t xml:space="preserve"> </w:t>
      </w:r>
      <w:r>
        <w:t xml:space="preserve">specific purposes outlined in the BIL including for administration of the grant. Montana will be taking set-asides from the </w:t>
      </w:r>
      <w:r w:rsidR="009C6077">
        <w:t xml:space="preserve">FFY </w:t>
      </w:r>
      <w:r w:rsidR="00B1717C">
        <w:t xml:space="preserve">2026 </w:t>
      </w:r>
      <w:r>
        <w:t>EC grant for administration of EC projects (for a detailed description of set-asides,</w:t>
      </w:r>
      <w:r w:rsidRPr="00294B45">
        <w:t xml:space="preserve"> </w:t>
      </w:r>
      <w:r>
        <w:t xml:space="preserve">see </w:t>
      </w:r>
      <w:r w:rsidRPr="00686B93">
        <w:rPr>
          <w:b/>
          <w:bCs/>
        </w:rPr>
        <w:t xml:space="preserve">Section </w:t>
      </w:r>
      <w:r>
        <w:rPr>
          <w:b/>
          <w:bCs/>
        </w:rPr>
        <w:t>12.0</w:t>
      </w:r>
      <w:r>
        <w:t xml:space="preserve">). </w:t>
      </w:r>
      <w:r w:rsidR="0072242E" w:rsidRPr="00C040EA">
        <w:rPr>
          <w:b/>
        </w:rPr>
        <w:t xml:space="preserve">Table </w:t>
      </w:r>
      <w:r w:rsidR="0072242E">
        <w:rPr>
          <w:b/>
        </w:rPr>
        <w:t xml:space="preserve">2 </w:t>
      </w:r>
      <w:r w:rsidR="0072242E">
        <w:rPr>
          <w:bCs/>
        </w:rPr>
        <w:t xml:space="preserve">shows the set-aside amounts </w:t>
      </w:r>
      <w:r w:rsidR="001E233C">
        <w:rPr>
          <w:bCs/>
        </w:rPr>
        <w:t xml:space="preserve">taken </w:t>
      </w:r>
      <w:r w:rsidR="0072242E">
        <w:rPr>
          <w:bCs/>
        </w:rPr>
        <w:t>for SFY 202</w:t>
      </w:r>
      <w:r w:rsidR="00B1717C">
        <w:rPr>
          <w:bCs/>
        </w:rPr>
        <w:t>7</w:t>
      </w:r>
      <w:r w:rsidR="0072242E">
        <w:rPr>
          <w:bCs/>
        </w:rPr>
        <w:t>.</w:t>
      </w:r>
    </w:p>
    <w:p w14:paraId="629B805B" w14:textId="77777777" w:rsidR="00E01BF6" w:rsidRDefault="00E01BF6" w:rsidP="00E01BF6">
      <w:pPr>
        <w:pStyle w:val="BodyText"/>
        <w:rPr>
          <w:rFonts w:asciiTheme="minorHAnsi" w:hAnsiTheme="minorHAnsi" w:cstheme="minorHAnsi"/>
        </w:rPr>
      </w:pPr>
    </w:p>
    <w:p w14:paraId="02981088" w14:textId="77777777" w:rsidR="00E01BF6" w:rsidRDefault="00E01BF6" w:rsidP="00E01BF6">
      <w:pPr>
        <w:pStyle w:val="BodyText"/>
        <w:rPr>
          <w:rFonts w:asciiTheme="minorHAnsi" w:hAnsiTheme="minorHAnsi" w:cstheme="minorHAnsi"/>
        </w:rPr>
        <w:sectPr w:rsidR="00E01BF6" w:rsidSect="00E01BF6">
          <w:headerReference w:type="even" r:id="rId20"/>
          <w:headerReference w:type="default" r:id="rId21"/>
          <w:footerReference w:type="default" r:id="rId22"/>
          <w:headerReference w:type="first" r:id="rId23"/>
          <w:pgSz w:w="12240" w:h="15840"/>
          <w:pgMar w:top="1440" w:right="1440" w:bottom="1152" w:left="1440" w:header="720" w:footer="720" w:gutter="0"/>
          <w:pgNumType w:start="1"/>
          <w:cols w:space="720"/>
          <w:noEndnote/>
          <w:docGrid w:linePitch="299"/>
        </w:sectPr>
      </w:pPr>
    </w:p>
    <w:p w14:paraId="1EBEF358" w14:textId="4FF3E756" w:rsidR="00E01BF6" w:rsidRDefault="003A7218" w:rsidP="003A7218">
      <w:pPr>
        <w:pStyle w:val="Caption"/>
      </w:pPr>
      <w:bookmarkStart w:id="100" w:name="_Toc135990162"/>
      <w:bookmarkStart w:id="101" w:name="_Toc230351715"/>
      <w:bookmarkStart w:id="102" w:name="_Hlk163819712"/>
      <w:r>
        <w:lastRenderedPageBreak/>
        <w:t xml:space="preserve">Table </w:t>
      </w:r>
      <w:r>
        <w:fldChar w:fldCharType="begin"/>
      </w:r>
      <w:r>
        <w:instrText xml:space="preserve"> SEQ Table \* ARABIC </w:instrText>
      </w:r>
      <w:r>
        <w:fldChar w:fldCharType="separate"/>
      </w:r>
      <w:r>
        <w:rPr>
          <w:noProof/>
        </w:rPr>
        <w:t>2</w:t>
      </w:r>
      <w:r>
        <w:fldChar w:fldCharType="end"/>
      </w:r>
      <w:r w:rsidR="00E01BF6">
        <w:t xml:space="preserve">. </w:t>
      </w:r>
      <w:r w:rsidR="00E01BF6" w:rsidRPr="0068108A">
        <w:t xml:space="preserve">State DWSRF Set-Aside Activity for the </w:t>
      </w:r>
      <w:r w:rsidR="00E01BF6">
        <w:t>EC</w:t>
      </w:r>
      <w:r w:rsidR="00E01BF6" w:rsidRPr="0068108A">
        <w:t xml:space="preserve"> Grant</w:t>
      </w:r>
      <w:bookmarkEnd w:id="100"/>
      <w:r w:rsidR="001E233C">
        <w:t xml:space="preserve"> ($7,640,000)</w:t>
      </w:r>
      <w:bookmarkEnd w:id="101"/>
    </w:p>
    <w:bookmarkEnd w:id="102"/>
    <w:p w14:paraId="1E8A4AD1" w14:textId="77777777" w:rsidR="00E01BF6" w:rsidRDefault="00E01BF6" w:rsidP="00E01BF6"/>
    <w:tbl>
      <w:tblPr>
        <w:tblStyle w:val="TableGrid"/>
        <w:tblW w:w="12870" w:type="dxa"/>
        <w:tblInd w:w="-5" w:type="dxa"/>
        <w:tblLook w:val="0020" w:firstRow="1" w:lastRow="0" w:firstColumn="0" w:lastColumn="0" w:noHBand="0" w:noVBand="0"/>
      </w:tblPr>
      <w:tblGrid>
        <w:gridCol w:w="1234"/>
        <w:gridCol w:w="1556"/>
        <w:gridCol w:w="1440"/>
        <w:gridCol w:w="1440"/>
        <w:gridCol w:w="1170"/>
        <w:gridCol w:w="1260"/>
        <w:gridCol w:w="1530"/>
        <w:gridCol w:w="1800"/>
        <w:gridCol w:w="1440"/>
      </w:tblGrid>
      <w:tr w:rsidR="00E01BF6" w:rsidRPr="00C377CA" w14:paraId="6E81D361" w14:textId="77777777" w:rsidTr="007B357C">
        <w:trPr>
          <w:trHeight w:val="20"/>
        </w:trPr>
        <w:tc>
          <w:tcPr>
            <w:tcW w:w="2790" w:type="dxa"/>
            <w:gridSpan w:val="2"/>
            <w:tcBorders>
              <w:top w:val="single" w:sz="12" w:space="0" w:color="auto"/>
              <w:left w:val="single" w:sz="4" w:space="0" w:color="auto"/>
              <w:bottom w:val="single" w:sz="12" w:space="0" w:color="auto"/>
              <w:right w:val="single" w:sz="4" w:space="0" w:color="auto"/>
            </w:tcBorders>
            <w:vAlign w:val="center"/>
          </w:tcPr>
          <w:p w14:paraId="3A650839" w14:textId="77777777"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Set-Aside</w:t>
            </w:r>
          </w:p>
        </w:tc>
        <w:tc>
          <w:tcPr>
            <w:tcW w:w="1440" w:type="dxa"/>
            <w:tcBorders>
              <w:top w:val="single" w:sz="12" w:space="0" w:color="auto"/>
              <w:left w:val="single" w:sz="4" w:space="0" w:color="auto"/>
              <w:bottom w:val="single" w:sz="12" w:space="0" w:color="auto"/>
              <w:right w:val="single" w:sz="4" w:space="0" w:color="auto"/>
            </w:tcBorders>
            <w:vAlign w:val="center"/>
          </w:tcPr>
          <w:p w14:paraId="50F93372" w14:textId="6DCFC0C2"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Through FFY 202</w:t>
            </w:r>
            <w:r w:rsidR="00982DEE">
              <w:rPr>
                <w:rFonts w:asciiTheme="minorHAnsi" w:hAnsiTheme="minorHAnsi" w:cstheme="minorHAnsi"/>
                <w:b/>
                <w:bCs/>
                <w:sz w:val="20"/>
                <w:szCs w:val="20"/>
              </w:rPr>
              <w:t>5</w:t>
            </w:r>
            <w:r w:rsidRPr="00C377CA">
              <w:rPr>
                <w:rFonts w:asciiTheme="minorHAnsi" w:hAnsiTheme="minorHAnsi" w:cstheme="minorHAnsi"/>
                <w:b/>
                <w:bCs/>
                <w:sz w:val="20"/>
                <w:szCs w:val="20"/>
              </w:rPr>
              <w:t xml:space="preserve"> Grant</w:t>
            </w:r>
          </w:p>
        </w:tc>
        <w:tc>
          <w:tcPr>
            <w:tcW w:w="1440" w:type="dxa"/>
            <w:tcBorders>
              <w:top w:val="single" w:sz="12" w:space="0" w:color="auto"/>
              <w:left w:val="single" w:sz="4" w:space="0" w:color="auto"/>
              <w:bottom w:val="single" w:sz="12" w:space="0" w:color="auto"/>
              <w:right w:val="single" w:sz="4" w:space="0" w:color="auto"/>
            </w:tcBorders>
            <w:vAlign w:val="center"/>
          </w:tcPr>
          <w:p w14:paraId="033773DC" w14:textId="2B98E253"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FFY 202</w:t>
            </w:r>
            <w:r w:rsidR="00982DEE">
              <w:rPr>
                <w:rFonts w:asciiTheme="minorHAnsi" w:hAnsiTheme="minorHAnsi" w:cstheme="minorHAnsi"/>
                <w:b/>
                <w:bCs/>
                <w:sz w:val="20"/>
                <w:szCs w:val="20"/>
              </w:rPr>
              <w:t>6</w:t>
            </w:r>
            <w:r w:rsidRPr="00C377CA">
              <w:rPr>
                <w:rFonts w:asciiTheme="minorHAnsi" w:hAnsiTheme="minorHAnsi" w:cstheme="minorHAnsi"/>
                <w:b/>
                <w:bCs/>
                <w:sz w:val="20"/>
                <w:szCs w:val="20"/>
              </w:rPr>
              <w:t xml:space="preserve"> Set-Aside </w:t>
            </w:r>
          </w:p>
          <w:p w14:paraId="0164716D" w14:textId="6B4A0262"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(for SFY 202</w:t>
            </w:r>
            <w:r w:rsidR="00982DEE">
              <w:rPr>
                <w:rFonts w:asciiTheme="minorHAnsi" w:hAnsiTheme="minorHAnsi" w:cstheme="minorHAnsi"/>
                <w:b/>
                <w:bCs/>
                <w:sz w:val="20"/>
                <w:szCs w:val="20"/>
              </w:rPr>
              <w:t>7</w:t>
            </w:r>
            <w:r w:rsidRPr="00C377CA">
              <w:rPr>
                <w:rFonts w:asciiTheme="minorHAnsi" w:hAnsiTheme="minorHAnsi" w:cstheme="minorHAnsi"/>
                <w:b/>
                <w:bCs/>
                <w:sz w:val="20"/>
                <w:szCs w:val="20"/>
              </w:rPr>
              <w:t>)</w:t>
            </w:r>
          </w:p>
        </w:tc>
        <w:tc>
          <w:tcPr>
            <w:tcW w:w="1170" w:type="dxa"/>
            <w:tcBorders>
              <w:top w:val="single" w:sz="12" w:space="0" w:color="auto"/>
              <w:left w:val="single" w:sz="4" w:space="0" w:color="auto"/>
              <w:bottom w:val="single" w:sz="12" w:space="0" w:color="auto"/>
              <w:right w:val="single" w:sz="4" w:space="0" w:color="auto"/>
            </w:tcBorders>
            <w:vAlign w:val="center"/>
          </w:tcPr>
          <w:p w14:paraId="0560266A" w14:textId="0D24FB23"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 of 202</w:t>
            </w:r>
            <w:r w:rsidR="00982DEE">
              <w:rPr>
                <w:rFonts w:asciiTheme="minorHAnsi" w:hAnsiTheme="minorHAnsi" w:cstheme="minorHAnsi"/>
                <w:b/>
                <w:bCs/>
                <w:sz w:val="20"/>
                <w:szCs w:val="20"/>
              </w:rPr>
              <w:t>6</w:t>
            </w:r>
            <w:r w:rsidRPr="00C377CA">
              <w:rPr>
                <w:rFonts w:asciiTheme="minorHAnsi" w:hAnsiTheme="minorHAnsi" w:cstheme="minorHAnsi"/>
                <w:b/>
                <w:bCs/>
                <w:sz w:val="20"/>
                <w:szCs w:val="20"/>
              </w:rPr>
              <w:t xml:space="preserve"> Grant</w:t>
            </w:r>
          </w:p>
        </w:tc>
        <w:tc>
          <w:tcPr>
            <w:tcW w:w="1260" w:type="dxa"/>
            <w:tcBorders>
              <w:top w:val="single" w:sz="12" w:space="0" w:color="auto"/>
              <w:left w:val="single" w:sz="4" w:space="0" w:color="auto"/>
              <w:bottom w:val="single" w:sz="12" w:space="0" w:color="auto"/>
              <w:right w:val="single" w:sz="4" w:space="0" w:color="auto"/>
            </w:tcBorders>
            <w:vAlign w:val="center"/>
          </w:tcPr>
          <w:p w14:paraId="54AE6361" w14:textId="77777777"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Total</w:t>
            </w:r>
          </w:p>
        </w:tc>
        <w:tc>
          <w:tcPr>
            <w:tcW w:w="1530" w:type="dxa"/>
            <w:tcBorders>
              <w:top w:val="single" w:sz="12" w:space="0" w:color="auto"/>
              <w:left w:val="single" w:sz="4" w:space="0" w:color="auto"/>
              <w:bottom w:val="single" w:sz="12" w:space="0" w:color="auto"/>
              <w:right w:val="single" w:sz="4" w:space="0" w:color="auto"/>
            </w:tcBorders>
            <w:vAlign w:val="center"/>
          </w:tcPr>
          <w:p w14:paraId="412753C4" w14:textId="77777777"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Reserved Authority (</w:t>
            </w:r>
            <w:r>
              <w:rPr>
                <w:rFonts w:asciiTheme="minorHAnsi" w:hAnsiTheme="minorHAnsi" w:cstheme="minorHAnsi"/>
                <w:b/>
                <w:bCs/>
                <w:sz w:val="20"/>
                <w:szCs w:val="20"/>
              </w:rPr>
              <w:t>FFY</w:t>
            </w:r>
            <w:r w:rsidRPr="00C377CA">
              <w:rPr>
                <w:rFonts w:asciiTheme="minorHAnsi" w:hAnsiTheme="minorHAnsi" w:cstheme="minorHAnsi"/>
                <w:b/>
                <w:bCs/>
                <w:sz w:val="20"/>
                <w:szCs w:val="20"/>
              </w:rPr>
              <w:t>)</w:t>
            </w:r>
          </w:p>
        </w:tc>
        <w:tc>
          <w:tcPr>
            <w:tcW w:w="1800" w:type="dxa"/>
            <w:tcBorders>
              <w:top w:val="single" w:sz="12" w:space="0" w:color="auto"/>
              <w:left w:val="single" w:sz="4" w:space="0" w:color="auto"/>
              <w:bottom w:val="single" w:sz="12" w:space="0" w:color="auto"/>
              <w:right w:val="single" w:sz="4" w:space="0" w:color="auto"/>
            </w:tcBorders>
            <w:vAlign w:val="center"/>
          </w:tcPr>
          <w:p w14:paraId="1CC555DB" w14:textId="77777777"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Reserved Authority Applied to Previous Grants</w:t>
            </w:r>
            <w:r>
              <w:rPr>
                <w:rFonts w:asciiTheme="minorHAnsi" w:hAnsiTheme="minorHAnsi" w:cstheme="minorHAnsi"/>
                <w:b/>
                <w:bCs/>
                <w:sz w:val="20"/>
                <w:szCs w:val="20"/>
              </w:rPr>
              <w:t xml:space="preserve"> (FFY)</w:t>
            </w:r>
          </w:p>
        </w:tc>
        <w:tc>
          <w:tcPr>
            <w:tcW w:w="1440" w:type="dxa"/>
            <w:tcBorders>
              <w:top w:val="single" w:sz="12" w:space="0" w:color="auto"/>
              <w:left w:val="single" w:sz="4" w:space="0" w:color="auto"/>
              <w:bottom w:val="single" w:sz="12" w:space="0" w:color="auto"/>
              <w:right w:val="single" w:sz="4" w:space="0" w:color="auto"/>
            </w:tcBorders>
            <w:vAlign w:val="center"/>
          </w:tcPr>
          <w:p w14:paraId="597B6941" w14:textId="77777777" w:rsidR="00E01BF6" w:rsidRPr="00C377CA" w:rsidRDefault="00E01BF6" w:rsidP="00651167">
            <w:pPr>
              <w:jc w:val="center"/>
              <w:rPr>
                <w:rFonts w:asciiTheme="minorHAnsi" w:hAnsiTheme="minorHAnsi" w:cstheme="minorHAnsi"/>
                <w:b/>
                <w:bCs/>
                <w:sz w:val="20"/>
                <w:szCs w:val="20"/>
              </w:rPr>
            </w:pPr>
            <w:r w:rsidRPr="00C377CA">
              <w:rPr>
                <w:rFonts w:asciiTheme="minorHAnsi" w:hAnsiTheme="minorHAnsi" w:cstheme="minorHAnsi"/>
                <w:b/>
                <w:bCs/>
                <w:sz w:val="20"/>
                <w:szCs w:val="20"/>
              </w:rPr>
              <w:t>Total Remaining Authority Reserved</w:t>
            </w:r>
          </w:p>
        </w:tc>
      </w:tr>
      <w:tr w:rsidR="00E01BF6" w:rsidRPr="00C377CA" w14:paraId="20361D6A" w14:textId="77777777" w:rsidTr="007B357C">
        <w:trPr>
          <w:trHeight w:val="386"/>
        </w:trPr>
        <w:tc>
          <w:tcPr>
            <w:tcW w:w="2790" w:type="dxa"/>
            <w:gridSpan w:val="2"/>
            <w:tcBorders>
              <w:top w:val="single" w:sz="12" w:space="0" w:color="auto"/>
              <w:bottom w:val="single" w:sz="12" w:space="0" w:color="auto"/>
            </w:tcBorders>
            <w:vAlign w:val="center"/>
          </w:tcPr>
          <w:p w14:paraId="0597183E" w14:textId="77777777" w:rsidR="00E01BF6" w:rsidRPr="00C377CA" w:rsidRDefault="00E01BF6" w:rsidP="00651167">
            <w:pPr>
              <w:rPr>
                <w:rFonts w:asciiTheme="minorHAnsi" w:hAnsiTheme="minorHAnsi" w:cstheme="minorHAnsi"/>
                <w:b/>
                <w:sz w:val="20"/>
                <w:szCs w:val="20"/>
              </w:rPr>
            </w:pPr>
            <w:r w:rsidRPr="00C377CA">
              <w:rPr>
                <w:rFonts w:asciiTheme="minorHAnsi" w:hAnsiTheme="minorHAnsi" w:cstheme="minorHAnsi"/>
                <w:b/>
                <w:sz w:val="20"/>
                <w:szCs w:val="20"/>
              </w:rPr>
              <w:t>4% Administration</w:t>
            </w:r>
          </w:p>
        </w:tc>
        <w:tc>
          <w:tcPr>
            <w:tcW w:w="1440" w:type="dxa"/>
            <w:tcBorders>
              <w:top w:val="single" w:sz="12" w:space="0" w:color="auto"/>
              <w:bottom w:val="single" w:sz="12" w:space="0" w:color="auto"/>
            </w:tcBorders>
            <w:vAlign w:val="center"/>
          </w:tcPr>
          <w:p w14:paraId="1089BA80" w14:textId="2522F11F" w:rsidR="00E01BF6" w:rsidRPr="00C377CA" w:rsidRDefault="00982DEE" w:rsidP="00651167">
            <w:pPr>
              <w:jc w:val="center"/>
              <w:rPr>
                <w:rFonts w:asciiTheme="minorHAnsi" w:hAnsiTheme="minorHAnsi" w:cstheme="minorHAnsi"/>
                <w:sz w:val="20"/>
                <w:szCs w:val="20"/>
              </w:rPr>
            </w:pPr>
            <w:r>
              <w:rPr>
                <w:rFonts w:asciiTheme="minorHAnsi" w:hAnsiTheme="minorHAnsi" w:cstheme="minorHAnsi"/>
                <w:sz w:val="20"/>
                <w:szCs w:val="20"/>
              </w:rPr>
              <w:t>305,600</w:t>
            </w:r>
          </w:p>
        </w:tc>
        <w:tc>
          <w:tcPr>
            <w:tcW w:w="1440" w:type="dxa"/>
            <w:tcBorders>
              <w:top w:val="single" w:sz="12" w:space="0" w:color="auto"/>
              <w:bottom w:val="single" w:sz="12" w:space="0" w:color="auto"/>
            </w:tcBorders>
            <w:vAlign w:val="center"/>
          </w:tcPr>
          <w:p w14:paraId="0EC467EA" w14:textId="53700A7F" w:rsidR="00E01BF6" w:rsidRPr="00C377CA" w:rsidRDefault="00D201D3" w:rsidP="00651167">
            <w:pPr>
              <w:jc w:val="center"/>
              <w:rPr>
                <w:rFonts w:asciiTheme="minorHAnsi" w:hAnsiTheme="minorHAnsi" w:cstheme="minorHAnsi"/>
                <w:sz w:val="20"/>
                <w:szCs w:val="20"/>
              </w:rPr>
            </w:pPr>
            <w:r>
              <w:rPr>
                <w:rFonts w:asciiTheme="minorHAnsi" w:hAnsiTheme="minorHAnsi" w:cstheme="minorHAnsi"/>
                <w:sz w:val="20"/>
                <w:szCs w:val="20"/>
              </w:rPr>
              <w:t>305,600</w:t>
            </w:r>
          </w:p>
        </w:tc>
        <w:tc>
          <w:tcPr>
            <w:tcW w:w="1170" w:type="dxa"/>
            <w:tcBorders>
              <w:top w:val="single" w:sz="12" w:space="0" w:color="auto"/>
              <w:bottom w:val="single" w:sz="12" w:space="0" w:color="auto"/>
            </w:tcBorders>
            <w:vAlign w:val="center"/>
          </w:tcPr>
          <w:p w14:paraId="1FD34451" w14:textId="692A025B" w:rsidR="00E01BF6" w:rsidRPr="00C377CA" w:rsidRDefault="00D201D3" w:rsidP="00651167">
            <w:pPr>
              <w:jc w:val="center"/>
              <w:rPr>
                <w:rFonts w:asciiTheme="minorHAnsi" w:hAnsiTheme="minorHAnsi" w:cstheme="minorHAnsi"/>
                <w:sz w:val="20"/>
                <w:szCs w:val="20"/>
              </w:rPr>
            </w:pPr>
            <w:r>
              <w:rPr>
                <w:rFonts w:asciiTheme="minorHAnsi" w:hAnsiTheme="minorHAnsi" w:cstheme="minorHAnsi"/>
                <w:sz w:val="20"/>
                <w:szCs w:val="20"/>
              </w:rPr>
              <w:t>4.0</w:t>
            </w:r>
            <w:r w:rsidR="00E01BF6" w:rsidRPr="00C377CA">
              <w:rPr>
                <w:rFonts w:asciiTheme="minorHAnsi" w:hAnsiTheme="minorHAnsi" w:cstheme="minorHAnsi"/>
                <w:sz w:val="20"/>
                <w:szCs w:val="20"/>
              </w:rPr>
              <w:t>%</w:t>
            </w:r>
          </w:p>
        </w:tc>
        <w:tc>
          <w:tcPr>
            <w:tcW w:w="1260" w:type="dxa"/>
            <w:tcBorders>
              <w:top w:val="single" w:sz="12" w:space="0" w:color="auto"/>
              <w:bottom w:val="single" w:sz="12" w:space="0" w:color="auto"/>
            </w:tcBorders>
            <w:vAlign w:val="center"/>
          </w:tcPr>
          <w:p w14:paraId="06F095C5" w14:textId="1185F674" w:rsidR="00E01BF6" w:rsidRPr="00C377CA" w:rsidRDefault="00982DEE" w:rsidP="00651167">
            <w:pPr>
              <w:jc w:val="center"/>
              <w:rPr>
                <w:rFonts w:asciiTheme="minorHAnsi" w:hAnsiTheme="minorHAnsi" w:cstheme="minorHAnsi"/>
                <w:sz w:val="20"/>
                <w:szCs w:val="20"/>
              </w:rPr>
            </w:pPr>
            <w:r>
              <w:rPr>
                <w:rFonts w:asciiTheme="minorHAnsi" w:hAnsiTheme="minorHAnsi" w:cstheme="minorHAnsi"/>
                <w:sz w:val="20"/>
                <w:szCs w:val="20"/>
              </w:rPr>
              <w:t>611,200</w:t>
            </w:r>
          </w:p>
        </w:tc>
        <w:tc>
          <w:tcPr>
            <w:tcW w:w="1530" w:type="dxa"/>
            <w:tcBorders>
              <w:top w:val="single" w:sz="12" w:space="0" w:color="auto"/>
              <w:bottom w:val="single" w:sz="12" w:space="0" w:color="auto"/>
            </w:tcBorders>
            <w:vAlign w:val="center"/>
          </w:tcPr>
          <w:p w14:paraId="56AE5ED6" w14:textId="77777777" w:rsidR="00E01BF6" w:rsidRDefault="00E01BF6" w:rsidP="00651167">
            <w:pPr>
              <w:jc w:val="center"/>
              <w:rPr>
                <w:sz w:val="20"/>
                <w:szCs w:val="20"/>
              </w:rPr>
            </w:pPr>
            <w:r>
              <w:rPr>
                <w:sz w:val="20"/>
                <w:szCs w:val="20"/>
              </w:rPr>
              <w:t>302,200 (2022)</w:t>
            </w:r>
          </w:p>
          <w:p w14:paraId="7A792163" w14:textId="77777777" w:rsidR="00E01BF6" w:rsidRDefault="00E01BF6" w:rsidP="00651167">
            <w:pPr>
              <w:jc w:val="center"/>
              <w:rPr>
                <w:sz w:val="20"/>
                <w:szCs w:val="20"/>
              </w:rPr>
            </w:pPr>
            <w:r>
              <w:rPr>
                <w:sz w:val="20"/>
                <w:szCs w:val="20"/>
              </w:rPr>
              <w:t>305,600 (2023)</w:t>
            </w:r>
          </w:p>
          <w:p w14:paraId="1402D784" w14:textId="77777777" w:rsidR="00E01BF6" w:rsidRDefault="00E01BF6" w:rsidP="00651167">
            <w:pPr>
              <w:jc w:val="center"/>
              <w:rPr>
                <w:sz w:val="20"/>
                <w:szCs w:val="20"/>
              </w:rPr>
            </w:pPr>
            <w:r>
              <w:rPr>
                <w:sz w:val="20"/>
                <w:szCs w:val="20"/>
              </w:rPr>
              <w:t>305,600 (2024)</w:t>
            </w:r>
          </w:p>
          <w:p w14:paraId="4C12A2DE" w14:textId="65893E02" w:rsidR="00E01BF6" w:rsidRPr="00C377CA" w:rsidRDefault="00E01BF6" w:rsidP="00651167">
            <w:pPr>
              <w:jc w:val="center"/>
              <w:rPr>
                <w:rFonts w:asciiTheme="minorHAnsi" w:hAnsiTheme="minorHAnsi" w:cstheme="minorHAnsi"/>
                <w:sz w:val="20"/>
                <w:szCs w:val="20"/>
              </w:rPr>
            </w:pPr>
          </w:p>
        </w:tc>
        <w:tc>
          <w:tcPr>
            <w:tcW w:w="1800" w:type="dxa"/>
            <w:tcBorders>
              <w:top w:val="single" w:sz="12" w:space="0" w:color="auto"/>
              <w:bottom w:val="single" w:sz="12" w:space="0" w:color="auto"/>
            </w:tcBorders>
            <w:vAlign w:val="center"/>
          </w:tcPr>
          <w:p w14:paraId="01FEF62B" w14:textId="77777777" w:rsidR="00E01BF6" w:rsidRPr="00C377CA" w:rsidRDefault="00E01BF6" w:rsidP="00651167">
            <w:pPr>
              <w:jc w:val="center"/>
              <w:rPr>
                <w:rFonts w:asciiTheme="minorHAnsi" w:hAnsiTheme="minorHAnsi" w:cstheme="minorHAnsi"/>
                <w:sz w:val="20"/>
                <w:szCs w:val="20"/>
              </w:rPr>
            </w:pPr>
            <w:r w:rsidRPr="00DA68C5">
              <w:rPr>
                <w:sz w:val="20"/>
                <w:szCs w:val="20"/>
              </w:rPr>
              <w:t>-</w:t>
            </w:r>
          </w:p>
        </w:tc>
        <w:tc>
          <w:tcPr>
            <w:tcW w:w="1440" w:type="dxa"/>
            <w:tcBorders>
              <w:top w:val="single" w:sz="12" w:space="0" w:color="auto"/>
              <w:bottom w:val="single" w:sz="12" w:space="0" w:color="auto"/>
            </w:tcBorders>
            <w:vAlign w:val="center"/>
          </w:tcPr>
          <w:p w14:paraId="2D368918" w14:textId="45B819FF" w:rsidR="00E01BF6" w:rsidRPr="00C377CA" w:rsidRDefault="00D201D3" w:rsidP="00651167">
            <w:pPr>
              <w:jc w:val="center"/>
              <w:rPr>
                <w:rFonts w:asciiTheme="minorHAnsi" w:hAnsiTheme="minorHAnsi" w:cstheme="minorHAnsi"/>
                <w:sz w:val="20"/>
                <w:szCs w:val="20"/>
              </w:rPr>
            </w:pPr>
            <w:r>
              <w:rPr>
                <w:sz w:val="20"/>
                <w:szCs w:val="20"/>
              </w:rPr>
              <w:t>913,400</w:t>
            </w:r>
          </w:p>
        </w:tc>
      </w:tr>
      <w:tr w:rsidR="00AE3D2D" w:rsidRPr="00C377CA" w14:paraId="005F8F67" w14:textId="77777777" w:rsidTr="007B357C">
        <w:trPr>
          <w:trHeight w:val="908"/>
        </w:trPr>
        <w:tc>
          <w:tcPr>
            <w:tcW w:w="0" w:type="auto"/>
            <w:vMerge w:val="restart"/>
            <w:tcBorders>
              <w:top w:val="single" w:sz="12" w:space="0" w:color="auto"/>
            </w:tcBorders>
            <w:vAlign w:val="center"/>
          </w:tcPr>
          <w:p w14:paraId="57131EC2" w14:textId="77777777" w:rsidR="00AE3D2D" w:rsidRPr="00C377CA" w:rsidRDefault="00AE3D2D" w:rsidP="00651167">
            <w:pPr>
              <w:rPr>
                <w:rFonts w:asciiTheme="minorHAnsi" w:hAnsiTheme="minorHAnsi" w:cstheme="minorHAnsi"/>
                <w:b/>
                <w:sz w:val="20"/>
                <w:szCs w:val="20"/>
              </w:rPr>
            </w:pPr>
            <w:r w:rsidRPr="00C377CA">
              <w:rPr>
                <w:rFonts w:asciiTheme="minorHAnsi" w:hAnsiTheme="minorHAnsi" w:cstheme="minorHAnsi"/>
                <w:b/>
                <w:sz w:val="20"/>
                <w:szCs w:val="20"/>
              </w:rPr>
              <w:t>10% State Program</w:t>
            </w:r>
          </w:p>
        </w:tc>
        <w:tc>
          <w:tcPr>
            <w:tcW w:w="1556" w:type="dxa"/>
            <w:tcBorders>
              <w:top w:val="single" w:sz="12" w:space="0" w:color="auto"/>
            </w:tcBorders>
            <w:vAlign w:val="center"/>
          </w:tcPr>
          <w:p w14:paraId="138FDB9C" w14:textId="77777777" w:rsidR="00AE3D2D" w:rsidRPr="00C377CA" w:rsidRDefault="00AE3D2D" w:rsidP="00651167">
            <w:pPr>
              <w:rPr>
                <w:rFonts w:asciiTheme="minorHAnsi" w:hAnsiTheme="minorHAnsi" w:cstheme="minorHAnsi"/>
                <w:sz w:val="20"/>
                <w:szCs w:val="20"/>
              </w:rPr>
            </w:pPr>
            <w:r w:rsidRPr="00C377CA">
              <w:rPr>
                <w:rFonts w:asciiTheme="minorHAnsi" w:hAnsiTheme="minorHAnsi" w:cstheme="minorHAnsi"/>
                <w:sz w:val="20"/>
                <w:szCs w:val="20"/>
              </w:rPr>
              <w:t>Public Water Supply Supervision</w:t>
            </w:r>
          </w:p>
        </w:tc>
        <w:tc>
          <w:tcPr>
            <w:tcW w:w="1440" w:type="dxa"/>
            <w:tcBorders>
              <w:top w:val="single" w:sz="12" w:space="0" w:color="auto"/>
            </w:tcBorders>
            <w:vAlign w:val="center"/>
          </w:tcPr>
          <w:p w14:paraId="10E8AF10"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tcBorders>
              <w:top w:val="single" w:sz="12" w:space="0" w:color="auto"/>
            </w:tcBorders>
            <w:vAlign w:val="center"/>
          </w:tcPr>
          <w:p w14:paraId="4990C5EA" w14:textId="77777777" w:rsidR="00AE3D2D" w:rsidRPr="00C377CA" w:rsidRDefault="00AE3D2D" w:rsidP="00651167">
            <w:pPr>
              <w:jc w:val="center"/>
              <w:rPr>
                <w:rFonts w:asciiTheme="minorHAnsi" w:hAnsiTheme="minorHAnsi" w:cstheme="minorHAnsi"/>
                <w:sz w:val="20"/>
                <w:szCs w:val="20"/>
                <w:highlight w:val="yellow"/>
              </w:rPr>
            </w:pPr>
            <w:r>
              <w:rPr>
                <w:rFonts w:asciiTheme="minorHAnsi" w:hAnsiTheme="minorHAnsi" w:cstheme="minorHAnsi"/>
                <w:sz w:val="20"/>
                <w:szCs w:val="20"/>
              </w:rPr>
              <w:t>0</w:t>
            </w:r>
          </w:p>
        </w:tc>
        <w:tc>
          <w:tcPr>
            <w:tcW w:w="1170" w:type="dxa"/>
            <w:tcBorders>
              <w:top w:val="single" w:sz="12" w:space="0" w:color="auto"/>
            </w:tcBorders>
            <w:vAlign w:val="center"/>
          </w:tcPr>
          <w:p w14:paraId="52057853"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r w:rsidRPr="00C377CA">
              <w:rPr>
                <w:rFonts w:asciiTheme="minorHAnsi" w:hAnsiTheme="minorHAnsi" w:cstheme="minorHAnsi"/>
                <w:sz w:val="20"/>
                <w:szCs w:val="20"/>
              </w:rPr>
              <w:t>%</w:t>
            </w:r>
          </w:p>
        </w:tc>
        <w:tc>
          <w:tcPr>
            <w:tcW w:w="1260" w:type="dxa"/>
            <w:tcBorders>
              <w:top w:val="single" w:sz="12" w:space="0" w:color="auto"/>
            </w:tcBorders>
            <w:vAlign w:val="center"/>
          </w:tcPr>
          <w:p w14:paraId="36E5EB95" w14:textId="77777777" w:rsidR="00AE3D2D" w:rsidRPr="00C377CA" w:rsidRDefault="00AE3D2D" w:rsidP="00651167">
            <w:pPr>
              <w:jc w:val="center"/>
              <w:rPr>
                <w:rFonts w:asciiTheme="minorHAnsi" w:hAnsiTheme="minorHAnsi" w:cstheme="minorHAnsi"/>
                <w:sz w:val="20"/>
                <w:szCs w:val="20"/>
              </w:rPr>
            </w:pPr>
            <w:r>
              <w:rPr>
                <w:sz w:val="20"/>
                <w:szCs w:val="20"/>
              </w:rPr>
              <w:t>0</w:t>
            </w:r>
          </w:p>
        </w:tc>
        <w:tc>
          <w:tcPr>
            <w:tcW w:w="1530" w:type="dxa"/>
            <w:tcBorders>
              <w:top w:val="single" w:sz="12" w:space="0" w:color="auto"/>
            </w:tcBorders>
            <w:vAlign w:val="center"/>
          </w:tcPr>
          <w:p w14:paraId="2D8B8E65" w14:textId="77777777" w:rsidR="00AE3D2D" w:rsidRDefault="00AE3D2D" w:rsidP="00651167">
            <w:pPr>
              <w:jc w:val="center"/>
              <w:rPr>
                <w:sz w:val="20"/>
                <w:szCs w:val="20"/>
              </w:rPr>
            </w:pPr>
            <w:r>
              <w:rPr>
                <w:sz w:val="20"/>
                <w:szCs w:val="20"/>
              </w:rPr>
              <w:t>755,500 (2022)</w:t>
            </w:r>
          </w:p>
          <w:p w14:paraId="5DE2754F" w14:textId="77777777" w:rsidR="00AE3D2D" w:rsidRDefault="00AE3D2D" w:rsidP="00651167">
            <w:pPr>
              <w:jc w:val="center"/>
              <w:rPr>
                <w:sz w:val="20"/>
                <w:szCs w:val="20"/>
              </w:rPr>
            </w:pPr>
            <w:r>
              <w:rPr>
                <w:sz w:val="20"/>
                <w:szCs w:val="20"/>
              </w:rPr>
              <w:t>764,000 (2023)</w:t>
            </w:r>
          </w:p>
          <w:p w14:paraId="53BB2F84" w14:textId="77777777" w:rsidR="00AE3D2D" w:rsidRDefault="00AE3D2D" w:rsidP="00651167">
            <w:pPr>
              <w:jc w:val="center"/>
              <w:rPr>
                <w:sz w:val="20"/>
                <w:szCs w:val="20"/>
              </w:rPr>
            </w:pPr>
            <w:r>
              <w:rPr>
                <w:sz w:val="20"/>
                <w:szCs w:val="20"/>
              </w:rPr>
              <w:t>764,000 (2024)</w:t>
            </w:r>
          </w:p>
          <w:p w14:paraId="4F1AB04C" w14:textId="77777777" w:rsidR="00AE3D2D" w:rsidRPr="00C377CA" w:rsidRDefault="00AE3D2D" w:rsidP="00651167">
            <w:pPr>
              <w:jc w:val="center"/>
              <w:rPr>
                <w:rFonts w:asciiTheme="minorHAnsi" w:hAnsiTheme="minorHAnsi" w:cstheme="minorHAnsi"/>
                <w:sz w:val="20"/>
                <w:szCs w:val="20"/>
              </w:rPr>
            </w:pPr>
            <w:r>
              <w:rPr>
                <w:sz w:val="20"/>
                <w:szCs w:val="20"/>
              </w:rPr>
              <w:t>764,000 (2025)</w:t>
            </w:r>
          </w:p>
        </w:tc>
        <w:tc>
          <w:tcPr>
            <w:tcW w:w="1800" w:type="dxa"/>
            <w:tcBorders>
              <w:top w:val="single" w:sz="12" w:space="0" w:color="auto"/>
            </w:tcBorders>
            <w:vAlign w:val="center"/>
          </w:tcPr>
          <w:p w14:paraId="4DEA292D"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440" w:type="dxa"/>
            <w:tcBorders>
              <w:top w:val="single" w:sz="12" w:space="0" w:color="auto"/>
            </w:tcBorders>
            <w:vAlign w:val="center"/>
          </w:tcPr>
          <w:p w14:paraId="2B3A8DD3" w14:textId="77777777" w:rsidR="00AE3D2D" w:rsidRPr="00C377CA" w:rsidRDefault="00AE3D2D" w:rsidP="00651167">
            <w:pPr>
              <w:jc w:val="center"/>
              <w:rPr>
                <w:rFonts w:asciiTheme="minorHAnsi" w:hAnsiTheme="minorHAnsi" w:cstheme="minorHAnsi"/>
                <w:sz w:val="20"/>
                <w:szCs w:val="20"/>
              </w:rPr>
            </w:pPr>
            <w:r>
              <w:rPr>
                <w:sz w:val="20"/>
                <w:szCs w:val="20"/>
              </w:rPr>
              <w:t>3,047,500</w:t>
            </w:r>
          </w:p>
        </w:tc>
      </w:tr>
      <w:tr w:rsidR="00AE3D2D" w:rsidRPr="00C377CA" w14:paraId="6DAC30F5" w14:textId="77777777" w:rsidTr="007B357C">
        <w:trPr>
          <w:trHeight w:val="20"/>
        </w:trPr>
        <w:tc>
          <w:tcPr>
            <w:tcW w:w="0" w:type="auto"/>
            <w:vMerge/>
            <w:vAlign w:val="center"/>
          </w:tcPr>
          <w:p w14:paraId="6D0D1B49" w14:textId="77777777" w:rsidR="00AE3D2D" w:rsidRPr="00C377CA" w:rsidRDefault="00AE3D2D" w:rsidP="00651167">
            <w:pPr>
              <w:rPr>
                <w:rFonts w:asciiTheme="minorHAnsi" w:hAnsiTheme="minorHAnsi" w:cstheme="minorHAnsi"/>
                <w:b/>
                <w:sz w:val="20"/>
                <w:szCs w:val="20"/>
              </w:rPr>
            </w:pPr>
          </w:p>
        </w:tc>
        <w:tc>
          <w:tcPr>
            <w:tcW w:w="1556" w:type="dxa"/>
            <w:vAlign w:val="center"/>
          </w:tcPr>
          <w:p w14:paraId="2ADCBA8E" w14:textId="77777777" w:rsidR="00AE3D2D" w:rsidRPr="00C377CA" w:rsidRDefault="00AE3D2D" w:rsidP="00651167">
            <w:pPr>
              <w:rPr>
                <w:rFonts w:asciiTheme="minorHAnsi" w:hAnsiTheme="minorHAnsi" w:cstheme="minorHAnsi"/>
                <w:sz w:val="20"/>
                <w:szCs w:val="20"/>
              </w:rPr>
            </w:pPr>
            <w:r w:rsidRPr="00C377CA">
              <w:rPr>
                <w:rFonts w:asciiTheme="minorHAnsi" w:hAnsiTheme="minorHAnsi" w:cstheme="minorHAnsi"/>
                <w:sz w:val="20"/>
                <w:szCs w:val="20"/>
              </w:rPr>
              <w:t>Source Water Protection</w:t>
            </w:r>
          </w:p>
        </w:tc>
        <w:tc>
          <w:tcPr>
            <w:tcW w:w="1440" w:type="dxa"/>
            <w:vAlign w:val="center"/>
          </w:tcPr>
          <w:p w14:paraId="70EDA530"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vAlign w:val="center"/>
          </w:tcPr>
          <w:p w14:paraId="67E706D7"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170" w:type="dxa"/>
            <w:vAlign w:val="center"/>
          </w:tcPr>
          <w:p w14:paraId="24FE4F3B" w14:textId="77777777" w:rsidR="00AE3D2D" w:rsidRPr="00C377CA" w:rsidRDefault="00AE3D2D" w:rsidP="00651167">
            <w:pPr>
              <w:jc w:val="center"/>
              <w:rPr>
                <w:rFonts w:asciiTheme="minorHAnsi" w:hAnsiTheme="minorHAnsi" w:cstheme="minorHAnsi"/>
                <w:sz w:val="20"/>
                <w:szCs w:val="20"/>
              </w:rPr>
            </w:pPr>
            <w:r w:rsidRPr="00C377CA">
              <w:rPr>
                <w:rFonts w:asciiTheme="minorHAnsi" w:hAnsiTheme="minorHAnsi" w:cstheme="minorHAnsi"/>
                <w:sz w:val="20"/>
                <w:szCs w:val="20"/>
              </w:rPr>
              <w:t>0%</w:t>
            </w:r>
          </w:p>
        </w:tc>
        <w:tc>
          <w:tcPr>
            <w:tcW w:w="1260" w:type="dxa"/>
            <w:vAlign w:val="center"/>
          </w:tcPr>
          <w:p w14:paraId="4B325E34" w14:textId="77777777" w:rsidR="00AE3D2D" w:rsidRPr="00C377CA" w:rsidRDefault="00AE3D2D" w:rsidP="00651167">
            <w:pPr>
              <w:jc w:val="center"/>
              <w:rPr>
                <w:rFonts w:asciiTheme="minorHAnsi" w:hAnsiTheme="minorHAnsi" w:cstheme="minorHAnsi"/>
                <w:sz w:val="20"/>
                <w:szCs w:val="20"/>
              </w:rPr>
            </w:pPr>
            <w:r w:rsidRPr="007965BB">
              <w:rPr>
                <w:sz w:val="20"/>
                <w:szCs w:val="20"/>
              </w:rPr>
              <w:t>0</w:t>
            </w:r>
          </w:p>
        </w:tc>
        <w:tc>
          <w:tcPr>
            <w:tcW w:w="1530" w:type="dxa"/>
            <w:vAlign w:val="center"/>
          </w:tcPr>
          <w:p w14:paraId="6654CD93"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800" w:type="dxa"/>
            <w:vAlign w:val="center"/>
          </w:tcPr>
          <w:p w14:paraId="5E5F74B1"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440" w:type="dxa"/>
            <w:vAlign w:val="center"/>
          </w:tcPr>
          <w:p w14:paraId="0F0C808C" w14:textId="77777777" w:rsidR="00AE3D2D" w:rsidRPr="00C377CA" w:rsidRDefault="00AE3D2D" w:rsidP="00651167">
            <w:pPr>
              <w:jc w:val="center"/>
              <w:rPr>
                <w:rFonts w:asciiTheme="minorHAnsi" w:hAnsiTheme="minorHAnsi" w:cstheme="minorHAnsi"/>
                <w:sz w:val="20"/>
                <w:szCs w:val="20"/>
              </w:rPr>
            </w:pPr>
            <w:r w:rsidRPr="00941C16">
              <w:rPr>
                <w:sz w:val="20"/>
                <w:szCs w:val="20"/>
              </w:rPr>
              <w:t>-</w:t>
            </w:r>
          </w:p>
        </w:tc>
      </w:tr>
      <w:tr w:rsidR="00AE3D2D" w:rsidRPr="00C377CA" w14:paraId="41DBB861" w14:textId="77777777" w:rsidTr="007B357C">
        <w:trPr>
          <w:trHeight w:val="20"/>
        </w:trPr>
        <w:tc>
          <w:tcPr>
            <w:tcW w:w="0" w:type="auto"/>
            <w:vMerge/>
            <w:vAlign w:val="center"/>
          </w:tcPr>
          <w:p w14:paraId="01DF0664" w14:textId="77777777" w:rsidR="00AE3D2D" w:rsidRPr="00C377CA" w:rsidRDefault="00AE3D2D" w:rsidP="00651167">
            <w:pPr>
              <w:rPr>
                <w:rFonts w:asciiTheme="minorHAnsi" w:hAnsiTheme="minorHAnsi" w:cstheme="minorHAnsi"/>
                <w:b/>
                <w:sz w:val="20"/>
                <w:szCs w:val="20"/>
              </w:rPr>
            </w:pPr>
          </w:p>
        </w:tc>
        <w:tc>
          <w:tcPr>
            <w:tcW w:w="1556" w:type="dxa"/>
            <w:vAlign w:val="center"/>
          </w:tcPr>
          <w:p w14:paraId="6404E6A5" w14:textId="77777777" w:rsidR="00AE3D2D" w:rsidRPr="00C377CA" w:rsidRDefault="00AE3D2D" w:rsidP="00651167">
            <w:pPr>
              <w:rPr>
                <w:rFonts w:asciiTheme="minorHAnsi" w:hAnsiTheme="minorHAnsi" w:cstheme="minorHAnsi"/>
                <w:sz w:val="20"/>
                <w:szCs w:val="20"/>
              </w:rPr>
            </w:pPr>
            <w:r w:rsidRPr="00C377CA">
              <w:rPr>
                <w:rFonts w:asciiTheme="minorHAnsi" w:hAnsiTheme="minorHAnsi" w:cstheme="minorHAnsi"/>
                <w:sz w:val="20"/>
                <w:szCs w:val="20"/>
              </w:rPr>
              <w:t>Capacity Development</w:t>
            </w:r>
          </w:p>
        </w:tc>
        <w:tc>
          <w:tcPr>
            <w:tcW w:w="1440" w:type="dxa"/>
            <w:vAlign w:val="center"/>
          </w:tcPr>
          <w:p w14:paraId="2B112A40"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vAlign w:val="center"/>
          </w:tcPr>
          <w:p w14:paraId="4C8EAFB8"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170" w:type="dxa"/>
            <w:vAlign w:val="center"/>
          </w:tcPr>
          <w:p w14:paraId="18F7F0DA"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r w:rsidRPr="00C377CA">
              <w:rPr>
                <w:rFonts w:asciiTheme="minorHAnsi" w:hAnsiTheme="minorHAnsi" w:cstheme="minorHAnsi"/>
                <w:sz w:val="20"/>
                <w:szCs w:val="20"/>
              </w:rPr>
              <w:t>%</w:t>
            </w:r>
          </w:p>
        </w:tc>
        <w:tc>
          <w:tcPr>
            <w:tcW w:w="1260" w:type="dxa"/>
            <w:vAlign w:val="center"/>
          </w:tcPr>
          <w:p w14:paraId="7ADF87D9" w14:textId="77777777" w:rsidR="00AE3D2D" w:rsidRPr="00C377CA" w:rsidRDefault="00AE3D2D" w:rsidP="00651167">
            <w:pPr>
              <w:jc w:val="center"/>
              <w:rPr>
                <w:rFonts w:asciiTheme="minorHAnsi" w:hAnsiTheme="minorHAnsi" w:cstheme="minorHAnsi"/>
                <w:sz w:val="20"/>
                <w:szCs w:val="20"/>
              </w:rPr>
            </w:pPr>
            <w:r w:rsidRPr="007965BB">
              <w:rPr>
                <w:sz w:val="20"/>
                <w:szCs w:val="20"/>
              </w:rPr>
              <w:t>0</w:t>
            </w:r>
          </w:p>
        </w:tc>
        <w:tc>
          <w:tcPr>
            <w:tcW w:w="1530" w:type="dxa"/>
            <w:vAlign w:val="center"/>
          </w:tcPr>
          <w:p w14:paraId="6C6B99EC"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800" w:type="dxa"/>
            <w:vAlign w:val="center"/>
          </w:tcPr>
          <w:p w14:paraId="76FCE9F1"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440" w:type="dxa"/>
            <w:vAlign w:val="center"/>
          </w:tcPr>
          <w:p w14:paraId="5FA7C274" w14:textId="77777777" w:rsidR="00AE3D2D" w:rsidRPr="00C377CA" w:rsidRDefault="00AE3D2D" w:rsidP="00651167">
            <w:pPr>
              <w:jc w:val="center"/>
              <w:rPr>
                <w:rFonts w:asciiTheme="minorHAnsi" w:hAnsiTheme="minorHAnsi" w:cstheme="minorHAnsi"/>
                <w:sz w:val="20"/>
                <w:szCs w:val="20"/>
              </w:rPr>
            </w:pPr>
            <w:r w:rsidRPr="00941C16">
              <w:rPr>
                <w:sz w:val="20"/>
                <w:szCs w:val="20"/>
              </w:rPr>
              <w:t>-</w:t>
            </w:r>
          </w:p>
        </w:tc>
      </w:tr>
      <w:tr w:rsidR="00AE3D2D" w:rsidRPr="00C377CA" w14:paraId="165792F7" w14:textId="77777777" w:rsidTr="007B357C">
        <w:trPr>
          <w:trHeight w:val="20"/>
        </w:trPr>
        <w:tc>
          <w:tcPr>
            <w:tcW w:w="0" w:type="auto"/>
            <w:vMerge/>
            <w:vAlign w:val="center"/>
          </w:tcPr>
          <w:p w14:paraId="253D2BB8" w14:textId="77777777" w:rsidR="00AE3D2D" w:rsidRPr="00C377CA" w:rsidRDefault="00AE3D2D" w:rsidP="00651167">
            <w:pPr>
              <w:rPr>
                <w:rFonts w:asciiTheme="minorHAnsi" w:hAnsiTheme="minorHAnsi" w:cstheme="minorHAnsi"/>
                <w:b/>
                <w:sz w:val="20"/>
                <w:szCs w:val="20"/>
              </w:rPr>
            </w:pPr>
          </w:p>
        </w:tc>
        <w:tc>
          <w:tcPr>
            <w:tcW w:w="1556" w:type="dxa"/>
            <w:tcBorders>
              <w:bottom w:val="single" w:sz="12" w:space="0" w:color="auto"/>
            </w:tcBorders>
            <w:vAlign w:val="center"/>
          </w:tcPr>
          <w:p w14:paraId="36C2FA73" w14:textId="77777777" w:rsidR="00AE3D2D" w:rsidRPr="00C377CA" w:rsidRDefault="00AE3D2D" w:rsidP="00651167">
            <w:pPr>
              <w:rPr>
                <w:rFonts w:asciiTheme="minorHAnsi" w:hAnsiTheme="minorHAnsi" w:cstheme="minorHAnsi"/>
                <w:sz w:val="20"/>
                <w:szCs w:val="20"/>
              </w:rPr>
            </w:pPr>
            <w:r w:rsidRPr="00C377CA">
              <w:rPr>
                <w:rFonts w:asciiTheme="minorHAnsi" w:hAnsiTheme="minorHAnsi" w:cstheme="minorHAnsi"/>
                <w:sz w:val="20"/>
                <w:szCs w:val="20"/>
              </w:rPr>
              <w:t>Operator Certification</w:t>
            </w:r>
          </w:p>
        </w:tc>
        <w:tc>
          <w:tcPr>
            <w:tcW w:w="1440" w:type="dxa"/>
            <w:tcBorders>
              <w:bottom w:val="single" w:sz="12" w:space="0" w:color="auto"/>
            </w:tcBorders>
            <w:vAlign w:val="center"/>
          </w:tcPr>
          <w:p w14:paraId="710EE7FD"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tcBorders>
              <w:bottom w:val="single" w:sz="12" w:space="0" w:color="auto"/>
            </w:tcBorders>
            <w:vAlign w:val="center"/>
          </w:tcPr>
          <w:p w14:paraId="63E6C96C"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170" w:type="dxa"/>
            <w:tcBorders>
              <w:bottom w:val="single" w:sz="12" w:space="0" w:color="auto"/>
            </w:tcBorders>
            <w:vAlign w:val="center"/>
          </w:tcPr>
          <w:p w14:paraId="27CA1F75" w14:textId="77777777" w:rsidR="00AE3D2D" w:rsidRPr="00C377CA" w:rsidRDefault="00AE3D2D" w:rsidP="00651167">
            <w:pPr>
              <w:jc w:val="center"/>
              <w:rPr>
                <w:rFonts w:asciiTheme="minorHAnsi" w:hAnsiTheme="minorHAnsi" w:cstheme="minorHAnsi"/>
                <w:sz w:val="20"/>
                <w:szCs w:val="20"/>
              </w:rPr>
            </w:pPr>
            <w:r>
              <w:rPr>
                <w:rFonts w:asciiTheme="minorHAnsi" w:hAnsiTheme="minorHAnsi" w:cstheme="minorHAnsi"/>
                <w:sz w:val="20"/>
                <w:szCs w:val="20"/>
              </w:rPr>
              <w:t>0</w:t>
            </w:r>
            <w:r w:rsidRPr="00C377CA">
              <w:rPr>
                <w:rFonts w:asciiTheme="minorHAnsi" w:hAnsiTheme="minorHAnsi" w:cstheme="minorHAnsi"/>
                <w:sz w:val="20"/>
                <w:szCs w:val="20"/>
              </w:rPr>
              <w:t>%</w:t>
            </w:r>
          </w:p>
        </w:tc>
        <w:tc>
          <w:tcPr>
            <w:tcW w:w="1260" w:type="dxa"/>
            <w:tcBorders>
              <w:bottom w:val="single" w:sz="12" w:space="0" w:color="auto"/>
            </w:tcBorders>
            <w:vAlign w:val="center"/>
          </w:tcPr>
          <w:p w14:paraId="1025A293" w14:textId="77777777" w:rsidR="00AE3D2D" w:rsidRPr="00C377CA" w:rsidRDefault="00AE3D2D" w:rsidP="00651167">
            <w:pPr>
              <w:jc w:val="center"/>
              <w:rPr>
                <w:rFonts w:asciiTheme="minorHAnsi" w:hAnsiTheme="minorHAnsi" w:cstheme="minorHAnsi"/>
                <w:sz w:val="20"/>
                <w:szCs w:val="20"/>
              </w:rPr>
            </w:pPr>
            <w:r w:rsidRPr="007965BB">
              <w:rPr>
                <w:sz w:val="20"/>
                <w:szCs w:val="20"/>
              </w:rPr>
              <w:t>0</w:t>
            </w:r>
          </w:p>
        </w:tc>
        <w:tc>
          <w:tcPr>
            <w:tcW w:w="1530" w:type="dxa"/>
            <w:tcBorders>
              <w:bottom w:val="single" w:sz="12" w:space="0" w:color="auto"/>
            </w:tcBorders>
            <w:vAlign w:val="center"/>
          </w:tcPr>
          <w:p w14:paraId="0EDA976E"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800" w:type="dxa"/>
            <w:tcBorders>
              <w:bottom w:val="single" w:sz="12" w:space="0" w:color="auto"/>
            </w:tcBorders>
            <w:vAlign w:val="center"/>
          </w:tcPr>
          <w:p w14:paraId="72F00903"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c>
          <w:tcPr>
            <w:tcW w:w="1440" w:type="dxa"/>
            <w:tcBorders>
              <w:bottom w:val="single" w:sz="12" w:space="0" w:color="auto"/>
            </w:tcBorders>
            <w:vAlign w:val="center"/>
          </w:tcPr>
          <w:p w14:paraId="7D969ED0" w14:textId="77777777" w:rsidR="00AE3D2D" w:rsidRPr="00C377CA" w:rsidRDefault="00AE3D2D" w:rsidP="00651167">
            <w:pPr>
              <w:jc w:val="center"/>
              <w:rPr>
                <w:rFonts w:asciiTheme="minorHAnsi" w:hAnsiTheme="minorHAnsi" w:cstheme="minorHAnsi"/>
                <w:sz w:val="20"/>
                <w:szCs w:val="20"/>
              </w:rPr>
            </w:pPr>
            <w:r w:rsidRPr="00DA68C5">
              <w:rPr>
                <w:sz w:val="20"/>
                <w:szCs w:val="20"/>
              </w:rPr>
              <w:t>-</w:t>
            </w:r>
          </w:p>
        </w:tc>
      </w:tr>
      <w:tr w:rsidR="00E01BF6" w:rsidRPr="00C377CA" w14:paraId="3E9C3024" w14:textId="77777777" w:rsidTr="007B357C">
        <w:trPr>
          <w:trHeight w:val="348"/>
        </w:trPr>
        <w:tc>
          <w:tcPr>
            <w:tcW w:w="2790" w:type="dxa"/>
            <w:gridSpan w:val="2"/>
            <w:tcBorders>
              <w:top w:val="single" w:sz="12" w:space="0" w:color="auto"/>
              <w:bottom w:val="single" w:sz="12" w:space="0" w:color="auto"/>
              <w:right w:val="nil"/>
            </w:tcBorders>
            <w:vAlign w:val="center"/>
          </w:tcPr>
          <w:p w14:paraId="38ADDBE2" w14:textId="5FD86EB3" w:rsidR="00E01BF6" w:rsidRPr="00C377CA" w:rsidRDefault="00E01BF6" w:rsidP="00651167">
            <w:pPr>
              <w:rPr>
                <w:rFonts w:asciiTheme="minorHAnsi" w:hAnsiTheme="minorHAnsi" w:cstheme="minorHAnsi"/>
                <w:i/>
                <w:sz w:val="20"/>
                <w:szCs w:val="20"/>
              </w:rPr>
            </w:pPr>
            <w:r w:rsidRPr="00C377CA">
              <w:rPr>
                <w:rFonts w:asciiTheme="minorHAnsi" w:hAnsiTheme="minorHAnsi" w:cstheme="minorHAnsi"/>
                <w:i/>
                <w:sz w:val="20"/>
                <w:szCs w:val="20"/>
              </w:rPr>
              <w:t>Subtotal</w:t>
            </w:r>
            <w:r w:rsidR="00C65A9B">
              <w:rPr>
                <w:rFonts w:asciiTheme="minorHAnsi" w:hAnsiTheme="minorHAnsi" w:cstheme="minorHAnsi"/>
                <w:i/>
                <w:sz w:val="20"/>
                <w:szCs w:val="20"/>
              </w:rPr>
              <w:t xml:space="preserve"> 10% State Program</w:t>
            </w:r>
          </w:p>
        </w:tc>
        <w:tc>
          <w:tcPr>
            <w:tcW w:w="1440" w:type="dxa"/>
            <w:tcBorders>
              <w:top w:val="single" w:sz="12" w:space="0" w:color="auto"/>
              <w:left w:val="nil"/>
              <w:bottom w:val="single" w:sz="12" w:space="0" w:color="auto"/>
              <w:right w:val="nil"/>
            </w:tcBorders>
            <w:vAlign w:val="center"/>
          </w:tcPr>
          <w:p w14:paraId="00D931E4" w14:textId="77777777" w:rsidR="00E01BF6" w:rsidRPr="00C377CA" w:rsidRDefault="00E01BF6" w:rsidP="00651167">
            <w:pPr>
              <w:jc w:val="center"/>
              <w:rPr>
                <w:rFonts w:asciiTheme="minorHAnsi" w:hAnsiTheme="minorHAnsi" w:cstheme="minorHAnsi"/>
                <w:i/>
                <w:sz w:val="20"/>
                <w:szCs w:val="20"/>
              </w:rPr>
            </w:pPr>
            <w:r>
              <w:rPr>
                <w:rFonts w:asciiTheme="minorHAnsi" w:hAnsiTheme="minorHAnsi" w:cstheme="minorHAnsi"/>
                <w:i/>
                <w:sz w:val="20"/>
                <w:szCs w:val="20"/>
              </w:rPr>
              <w:t>0</w:t>
            </w:r>
          </w:p>
        </w:tc>
        <w:tc>
          <w:tcPr>
            <w:tcW w:w="1440" w:type="dxa"/>
            <w:tcBorders>
              <w:top w:val="single" w:sz="12" w:space="0" w:color="auto"/>
              <w:left w:val="nil"/>
              <w:bottom w:val="single" w:sz="12" w:space="0" w:color="auto"/>
              <w:right w:val="nil"/>
            </w:tcBorders>
            <w:vAlign w:val="center"/>
          </w:tcPr>
          <w:p w14:paraId="275BA191" w14:textId="77777777" w:rsidR="00E01BF6" w:rsidRPr="00C377CA" w:rsidRDefault="00E01BF6" w:rsidP="00651167">
            <w:pPr>
              <w:jc w:val="center"/>
              <w:rPr>
                <w:rFonts w:asciiTheme="minorHAnsi" w:hAnsiTheme="minorHAnsi" w:cstheme="minorHAnsi"/>
                <w:i/>
                <w:sz w:val="20"/>
                <w:szCs w:val="20"/>
              </w:rPr>
            </w:pPr>
            <w:r>
              <w:rPr>
                <w:rFonts w:asciiTheme="minorHAnsi" w:hAnsiTheme="minorHAnsi" w:cstheme="minorHAnsi"/>
                <w:i/>
                <w:sz w:val="20"/>
                <w:szCs w:val="20"/>
              </w:rPr>
              <w:t>0</w:t>
            </w:r>
          </w:p>
        </w:tc>
        <w:tc>
          <w:tcPr>
            <w:tcW w:w="1170" w:type="dxa"/>
            <w:tcBorders>
              <w:top w:val="single" w:sz="12" w:space="0" w:color="auto"/>
              <w:left w:val="nil"/>
              <w:bottom w:val="single" w:sz="12" w:space="0" w:color="auto"/>
              <w:right w:val="nil"/>
            </w:tcBorders>
            <w:vAlign w:val="center"/>
          </w:tcPr>
          <w:p w14:paraId="0151F1D3" w14:textId="77777777" w:rsidR="00E01BF6" w:rsidRPr="00C377CA" w:rsidRDefault="00E01BF6" w:rsidP="00651167">
            <w:pPr>
              <w:jc w:val="center"/>
              <w:rPr>
                <w:rFonts w:asciiTheme="minorHAnsi" w:hAnsiTheme="minorHAnsi" w:cstheme="minorHAnsi"/>
                <w:i/>
                <w:sz w:val="20"/>
                <w:szCs w:val="20"/>
              </w:rPr>
            </w:pPr>
            <w:r>
              <w:rPr>
                <w:rFonts w:asciiTheme="minorHAnsi" w:hAnsiTheme="minorHAnsi" w:cstheme="minorHAnsi"/>
                <w:i/>
                <w:sz w:val="20"/>
                <w:szCs w:val="20"/>
              </w:rPr>
              <w:t>0</w:t>
            </w:r>
            <w:r w:rsidRPr="00C377CA">
              <w:rPr>
                <w:rFonts w:asciiTheme="minorHAnsi" w:hAnsiTheme="minorHAnsi" w:cstheme="minorHAnsi"/>
                <w:i/>
                <w:sz w:val="20"/>
                <w:szCs w:val="20"/>
              </w:rPr>
              <w:t>%</w:t>
            </w:r>
          </w:p>
        </w:tc>
        <w:tc>
          <w:tcPr>
            <w:tcW w:w="1260" w:type="dxa"/>
            <w:tcBorders>
              <w:top w:val="single" w:sz="12" w:space="0" w:color="auto"/>
              <w:left w:val="nil"/>
              <w:bottom w:val="single" w:sz="12" w:space="0" w:color="auto"/>
              <w:right w:val="nil"/>
            </w:tcBorders>
            <w:vAlign w:val="center"/>
          </w:tcPr>
          <w:p w14:paraId="3FB6E8D5" w14:textId="77777777" w:rsidR="00E01BF6" w:rsidRPr="00C377CA" w:rsidRDefault="00E01BF6" w:rsidP="00651167">
            <w:pPr>
              <w:jc w:val="center"/>
              <w:rPr>
                <w:rFonts w:asciiTheme="minorHAnsi" w:hAnsiTheme="minorHAnsi" w:cstheme="minorHAnsi"/>
                <w:i/>
                <w:sz w:val="20"/>
                <w:szCs w:val="20"/>
              </w:rPr>
            </w:pPr>
            <w:r>
              <w:rPr>
                <w:rFonts w:asciiTheme="minorHAnsi" w:hAnsiTheme="minorHAnsi" w:cstheme="minorHAnsi"/>
                <w:i/>
                <w:sz w:val="20"/>
                <w:szCs w:val="20"/>
              </w:rPr>
              <w:t>0</w:t>
            </w:r>
          </w:p>
        </w:tc>
        <w:tc>
          <w:tcPr>
            <w:tcW w:w="1530" w:type="dxa"/>
            <w:tcBorders>
              <w:top w:val="single" w:sz="12" w:space="0" w:color="auto"/>
              <w:left w:val="nil"/>
              <w:bottom w:val="single" w:sz="12" w:space="0" w:color="auto"/>
              <w:right w:val="nil"/>
            </w:tcBorders>
            <w:vAlign w:val="center"/>
          </w:tcPr>
          <w:p w14:paraId="670F05E9" w14:textId="77777777" w:rsidR="00E01BF6" w:rsidRPr="00C377CA" w:rsidRDefault="00E01BF6" w:rsidP="00651167">
            <w:pPr>
              <w:jc w:val="center"/>
              <w:rPr>
                <w:rFonts w:asciiTheme="minorHAnsi" w:hAnsiTheme="minorHAnsi" w:cstheme="minorHAnsi"/>
                <w:i/>
                <w:sz w:val="20"/>
                <w:szCs w:val="20"/>
              </w:rPr>
            </w:pPr>
          </w:p>
        </w:tc>
        <w:tc>
          <w:tcPr>
            <w:tcW w:w="1800" w:type="dxa"/>
            <w:tcBorders>
              <w:top w:val="single" w:sz="12" w:space="0" w:color="auto"/>
              <w:left w:val="nil"/>
              <w:bottom w:val="single" w:sz="12" w:space="0" w:color="auto"/>
              <w:right w:val="nil"/>
            </w:tcBorders>
            <w:vAlign w:val="center"/>
          </w:tcPr>
          <w:p w14:paraId="4662B720" w14:textId="77777777" w:rsidR="00E01BF6" w:rsidRPr="00C377CA" w:rsidRDefault="00E01BF6" w:rsidP="00651167">
            <w:pPr>
              <w:jc w:val="center"/>
              <w:rPr>
                <w:rFonts w:asciiTheme="minorHAnsi" w:hAnsiTheme="minorHAnsi" w:cstheme="minorHAnsi"/>
                <w:i/>
                <w:sz w:val="20"/>
                <w:szCs w:val="20"/>
              </w:rPr>
            </w:pPr>
          </w:p>
        </w:tc>
        <w:tc>
          <w:tcPr>
            <w:tcW w:w="1440" w:type="dxa"/>
            <w:tcBorders>
              <w:top w:val="single" w:sz="12" w:space="0" w:color="auto"/>
              <w:left w:val="nil"/>
              <w:bottom w:val="single" w:sz="12" w:space="0" w:color="auto"/>
            </w:tcBorders>
            <w:vAlign w:val="center"/>
          </w:tcPr>
          <w:p w14:paraId="54182DA7" w14:textId="77777777" w:rsidR="00E01BF6" w:rsidRPr="00C377CA" w:rsidRDefault="00E01BF6" w:rsidP="00651167">
            <w:pPr>
              <w:jc w:val="center"/>
              <w:rPr>
                <w:rFonts w:asciiTheme="minorHAnsi" w:hAnsiTheme="minorHAnsi" w:cstheme="minorHAnsi"/>
                <w:i/>
                <w:sz w:val="20"/>
                <w:szCs w:val="20"/>
              </w:rPr>
            </w:pPr>
          </w:p>
        </w:tc>
      </w:tr>
      <w:tr w:rsidR="00E01BF6" w:rsidRPr="00C377CA" w14:paraId="756D0683" w14:textId="77777777" w:rsidTr="007B357C">
        <w:trPr>
          <w:trHeight w:val="789"/>
        </w:trPr>
        <w:tc>
          <w:tcPr>
            <w:tcW w:w="2790" w:type="dxa"/>
            <w:gridSpan w:val="2"/>
            <w:tcBorders>
              <w:top w:val="single" w:sz="12" w:space="0" w:color="auto"/>
              <w:bottom w:val="single" w:sz="12" w:space="0" w:color="auto"/>
            </w:tcBorders>
            <w:vAlign w:val="center"/>
          </w:tcPr>
          <w:p w14:paraId="08EFB211" w14:textId="77777777" w:rsidR="00E01BF6" w:rsidRPr="00C377CA" w:rsidRDefault="00E01BF6" w:rsidP="00651167">
            <w:pPr>
              <w:rPr>
                <w:rFonts w:asciiTheme="minorHAnsi" w:hAnsiTheme="minorHAnsi" w:cstheme="minorHAnsi"/>
                <w:b/>
                <w:sz w:val="20"/>
                <w:szCs w:val="20"/>
              </w:rPr>
            </w:pPr>
            <w:r w:rsidRPr="00C377CA">
              <w:rPr>
                <w:rFonts w:asciiTheme="minorHAnsi" w:hAnsiTheme="minorHAnsi" w:cstheme="minorHAnsi"/>
                <w:b/>
                <w:sz w:val="20"/>
                <w:szCs w:val="20"/>
              </w:rPr>
              <w:t>2% Small System Technical Assistance</w:t>
            </w:r>
          </w:p>
        </w:tc>
        <w:tc>
          <w:tcPr>
            <w:tcW w:w="1440" w:type="dxa"/>
            <w:tcBorders>
              <w:top w:val="single" w:sz="12" w:space="0" w:color="auto"/>
              <w:bottom w:val="single" w:sz="12" w:space="0" w:color="auto"/>
            </w:tcBorders>
            <w:vAlign w:val="center"/>
          </w:tcPr>
          <w:p w14:paraId="6E8EF99C"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tcBorders>
              <w:top w:val="single" w:sz="12" w:space="0" w:color="auto"/>
              <w:bottom w:val="single" w:sz="12" w:space="0" w:color="auto"/>
            </w:tcBorders>
            <w:vAlign w:val="center"/>
          </w:tcPr>
          <w:p w14:paraId="7E0AC1CA"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170" w:type="dxa"/>
            <w:tcBorders>
              <w:top w:val="single" w:sz="12" w:space="0" w:color="auto"/>
              <w:bottom w:val="single" w:sz="12" w:space="0" w:color="auto"/>
            </w:tcBorders>
            <w:vAlign w:val="center"/>
          </w:tcPr>
          <w:p w14:paraId="7DB966C7"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r w:rsidRPr="00C377CA">
              <w:rPr>
                <w:rFonts w:asciiTheme="minorHAnsi" w:hAnsiTheme="minorHAnsi" w:cstheme="minorHAnsi"/>
                <w:sz w:val="20"/>
                <w:szCs w:val="20"/>
              </w:rPr>
              <w:t>%</w:t>
            </w:r>
          </w:p>
        </w:tc>
        <w:tc>
          <w:tcPr>
            <w:tcW w:w="1260" w:type="dxa"/>
            <w:tcBorders>
              <w:top w:val="single" w:sz="12" w:space="0" w:color="auto"/>
              <w:bottom w:val="single" w:sz="12" w:space="0" w:color="auto"/>
            </w:tcBorders>
            <w:vAlign w:val="center"/>
          </w:tcPr>
          <w:p w14:paraId="4CA8DEFF"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530" w:type="dxa"/>
            <w:tcBorders>
              <w:top w:val="single" w:sz="12" w:space="0" w:color="auto"/>
              <w:bottom w:val="single" w:sz="12" w:space="0" w:color="auto"/>
            </w:tcBorders>
            <w:vAlign w:val="center"/>
          </w:tcPr>
          <w:p w14:paraId="057FBC79" w14:textId="77777777" w:rsidR="00E01BF6" w:rsidRDefault="00E01BF6" w:rsidP="00651167">
            <w:pPr>
              <w:jc w:val="center"/>
              <w:rPr>
                <w:sz w:val="20"/>
                <w:szCs w:val="20"/>
              </w:rPr>
            </w:pPr>
            <w:r>
              <w:rPr>
                <w:sz w:val="20"/>
                <w:szCs w:val="20"/>
              </w:rPr>
              <w:t>151,100 (2022)</w:t>
            </w:r>
          </w:p>
          <w:p w14:paraId="106E2DA6" w14:textId="77777777" w:rsidR="00E01BF6" w:rsidRDefault="00E01BF6" w:rsidP="00651167">
            <w:pPr>
              <w:jc w:val="center"/>
              <w:rPr>
                <w:sz w:val="20"/>
                <w:szCs w:val="20"/>
              </w:rPr>
            </w:pPr>
            <w:r>
              <w:rPr>
                <w:sz w:val="20"/>
                <w:szCs w:val="20"/>
              </w:rPr>
              <w:t>152,800 (2023)</w:t>
            </w:r>
          </w:p>
          <w:p w14:paraId="6DD9FBEA" w14:textId="77777777" w:rsidR="00E01BF6" w:rsidRDefault="00E01BF6" w:rsidP="00651167">
            <w:pPr>
              <w:jc w:val="center"/>
              <w:rPr>
                <w:sz w:val="20"/>
                <w:szCs w:val="20"/>
              </w:rPr>
            </w:pPr>
            <w:r>
              <w:rPr>
                <w:sz w:val="20"/>
                <w:szCs w:val="20"/>
              </w:rPr>
              <w:t>152,800 (2024)</w:t>
            </w:r>
          </w:p>
          <w:p w14:paraId="5EA22C34" w14:textId="77777777" w:rsidR="00E01BF6" w:rsidRPr="00C377CA" w:rsidRDefault="00E01BF6" w:rsidP="00651167">
            <w:pPr>
              <w:jc w:val="center"/>
              <w:rPr>
                <w:rFonts w:asciiTheme="minorHAnsi" w:hAnsiTheme="minorHAnsi" w:cstheme="minorHAnsi"/>
                <w:sz w:val="20"/>
                <w:szCs w:val="20"/>
              </w:rPr>
            </w:pPr>
            <w:r>
              <w:rPr>
                <w:sz w:val="20"/>
                <w:szCs w:val="20"/>
              </w:rPr>
              <w:t>152,800 (2025)</w:t>
            </w:r>
          </w:p>
        </w:tc>
        <w:tc>
          <w:tcPr>
            <w:tcW w:w="1800" w:type="dxa"/>
            <w:tcBorders>
              <w:top w:val="single" w:sz="12" w:space="0" w:color="auto"/>
              <w:bottom w:val="single" w:sz="12" w:space="0" w:color="auto"/>
            </w:tcBorders>
            <w:vAlign w:val="center"/>
          </w:tcPr>
          <w:p w14:paraId="0E86ABD3"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440" w:type="dxa"/>
            <w:tcBorders>
              <w:top w:val="single" w:sz="12" w:space="0" w:color="auto"/>
              <w:bottom w:val="single" w:sz="12" w:space="0" w:color="auto"/>
            </w:tcBorders>
            <w:vAlign w:val="center"/>
          </w:tcPr>
          <w:p w14:paraId="5F7A6477" w14:textId="77777777" w:rsidR="00E01BF6" w:rsidRPr="00C377CA" w:rsidRDefault="00E01BF6" w:rsidP="00651167">
            <w:pPr>
              <w:jc w:val="center"/>
              <w:rPr>
                <w:rFonts w:asciiTheme="minorHAnsi" w:hAnsiTheme="minorHAnsi" w:cstheme="minorHAnsi"/>
                <w:sz w:val="20"/>
                <w:szCs w:val="20"/>
              </w:rPr>
            </w:pPr>
            <w:r>
              <w:rPr>
                <w:sz w:val="20"/>
                <w:szCs w:val="20"/>
              </w:rPr>
              <w:t>609,500</w:t>
            </w:r>
          </w:p>
        </w:tc>
      </w:tr>
      <w:tr w:rsidR="00E01BF6" w:rsidRPr="00C377CA" w14:paraId="02520E95" w14:textId="77777777" w:rsidTr="007B357C">
        <w:trPr>
          <w:trHeight w:val="20"/>
        </w:trPr>
        <w:tc>
          <w:tcPr>
            <w:tcW w:w="0" w:type="auto"/>
            <w:vMerge w:val="restart"/>
            <w:tcBorders>
              <w:top w:val="single" w:sz="12" w:space="0" w:color="auto"/>
            </w:tcBorders>
            <w:vAlign w:val="center"/>
          </w:tcPr>
          <w:p w14:paraId="729FD542" w14:textId="77777777" w:rsidR="00E01BF6" w:rsidRPr="00C377CA" w:rsidRDefault="00E01BF6" w:rsidP="00651167">
            <w:pPr>
              <w:rPr>
                <w:rFonts w:asciiTheme="minorHAnsi" w:hAnsiTheme="minorHAnsi" w:cstheme="minorHAnsi"/>
                <w:b/>
                <w:sz w:val="20"/>
                <w:szCs w:val="20"/>
              </w:rPr>
            </w:pPr>
            <w:r w:rsidRPr="00C377CA">
              <w:rPr>
                <w:rFonts w:asciiTheme="minorHAnsi" w:hAnsiTheme="minorHAnsi" w:cstheme="minorHAnsi"/>
                <w:b/>
                <w:sz w:val="20"/>
                <w:szCs w:val="20"/>
              </w:rPr>
              <w:t>15% Local Assistance</w:t>
            </w:r>
          </w:p>
        </w:tc>
        <w:tc>
          <w:tcPr>
            <w:tcW w:w="1556" w:type="dxa"/>
            <w:tcBorders>
              <w:top w:val="single" w:sz="12" w:space="0" w:color="auto"/>
            </w:tcBorders>
            <w:vAlign w:val="center"/>
          </w:tcPr>
          <w:p w14:paraId="78C546F9" w14:textId="77777777" w:rsidR="00E01BF6" w:rsidRPr="00C377CA" w:rsidRDefault="00E01BF6" w:rsidP="00651167">
            <w:pPr>
              <w:rPr>
                <w:rFonts w:asciiTheme="minorHAnsi" w:hAnsiTheme="minorHAnsi" w:cstheme="minorHAnsi"/>
                <w:sz w:val="20"/>
                <w:szCs w:val="20"/>
              </w:rPr>
            </w:pPr>
            <w:r w:rsidRPr="00C377CA">
              <w:rPr>
                <w:rFonts w:asciiTheme="minorHAnsi" w:hAnsiTheme="minorHAnsi" w:cstheme="minorHAnsi"/>
                <w:sz w:val="20"/>
                <w:szCs w:val="20"/>
              </w:rPr>
              <w:t>Loan Assistance for SWP</w:t>
            </w:r>
          </w:p>
        </w:tc>
        <w:tc>
          <w:tcPr>
            <w:tcW w:w="1440" w:type="dxa"/>
            <w:tcBorders>
              <w:top w:val="single" w:sz="12" w:space="0" w:color="auto"/>
            </w:tcBorders>
            <w:vAlign w:val="center"/>
          </w:tcPr>
          <w:p w14:paraId="4340C45B" w14:textId="77777777" w:rsidR="00E01BF6" w:rsidRPr="00C377CA" w:rsidRDefault="00E01BF6" w:rsidP="00651167">
            <w:pPr>
              <w:jc w:val="center"/>
              <w:rPr>
                <w:rFonts w:asciiTheme="minorHAnsi" w:hAnsiTheme="minorHAnsi" w:cstheme="minorHAnsi"/>
                <w:sz w:val="20"/>
                <w:szCs w:val="20"/>
              </w:rPr>
            </w:pPr>
          </w:p>
        </w:tc>
        <w:tc>
          <w:tcPr>
            <w:tcW w:w="1440" w:type="dxa"/>
            <w:tcBorders>
              <w:top w:val="single" w:sz="12" w:space="0" w:color="auto"/>
            </w:tcBorders>
            <w:vAlign w:val="center"/>
          </w:tcPr>
          <w:p w14:paraId="26B9A150" w14:textId="77777777" w:rsidR="00E01BF6" w:rsidRPr="00C377CA" w:rsidRDefault="00E01BF6" w:rsidP="00651167">
            <w:pPr>
              <w:jc w:val="center"/>
              <w:rPr>
                <w:rFonts w:asciiTheme="minorHAnsi" w:hAnsiTheme="minorHAnsi" w:cstheme="minorHAnsi"/>
                <w:sz w:val="20"/>
                <w:szCs w:val="20"/>
              </w:rPr>
            </w:pPr>
          </w:p>
        </w:tc>
        <w:tc>
          <w:tcPr>
            <w:tcW w:w="1170" w:type="dxa"/>
            <w:tcBorders>
              <w:top w:val="single" w:sz="12" w:space="0" w:color="auto"/>
            </w:tcBorders>
            <w:vAlign w:val="center"/>
          </w:tcPr>
          <w:p w14:paraId="3A6E5421" w14:textId="77777777" w:rsidR="00E01BF6" w:rsidRPr="00C377CA" w:rsidRDefault="00E01BF6" w:rsidP="00651167">
            <w:pPr>
              <w:jc w:val="center"/>
              <w:rPr>
                <w:rFonts w:asciiTheme="minorHAnsi" w:hAnsiTheme="minorHAnsi" w:cstheme="minorHAnsi"/>
                <w:sz w:val="20"/>
                <w:szCs w:val="20"/>
              </w:rPr>
            </w:pPr>
          </w:p>
        </w:tc>
        <w:tc>
          <w:tcPr>
            <w:tcW w:w="1260" w:type="dxa"/>
            <w:tcBorders>
              <w:top w:val="single" w:sz="12" w:space="0" w:color="auto"/>
            </w:tcBorders>
            <w:vAlign w:val="center"/>
          </w:tcPr>
          <w:p w14:paraId="359E3634" w14:textId="77777777" w:rsidR="00E01BF6" w:rsidRPr="00C377CA" w:rsidRDefault="00E01BF6" w:rsidP="00651167">
            <w:pPr>
              <w:jc w:val="center"/>
              <w:rPr>
                <w:rFonts w:asciiTheme="minorHAnsi" w:hAnsiTheme="minorHAnsi" w:cstheme="minorHAnsi"/>
                <w:sz w:val="20"/>
                <w:szCs w:val="20"/>
              </w:rPr>
            </w:pPr>
            <w:r w:rsidRPr="00685F2A">
              <w:rPr>
                <w:sz w:val="20"/>
                <w:szCs w:val="20"/>
              </w:rPr>
              <w:t>0</w:t>
            </w:r>
          </w:p>
        </w:tc>
        <w:tc>
          <w:tcPr>
            <w:tcW w:w="1530" w:type="dxa"/>
            <w:tcBorders>
              <w:top w:val="single" w:sz="12" w:space="0" w:color="auto"/>
            </w:tcBorders>
            <w:vAlign w:val="center"/>
          </w:tcPr>
          <w:p w14:paraId="119235EC"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800" w:type="dxa"/>
            <w:tcBorders>
              <w:top w:val="single" w:sz="12" w:space="0" w:color="auto"/>
            </w:tcBorders>
            <w:vAlign w:val="center"/>
          </w:tcPr>
          <w:p w14:paraId="312B47B9"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440" w:type="dxa"/>
            <w:tcBorders>
              <w:top w:val="single" w:sz="12" w:space="0" w:color="auto"/>
            </w:tcBorders>
            <w:vAlign w:val="center"/>
          </w:tcPr>
          <w:p w14:paraId="646B4565" w14:textId="77777777" w:rsidR="00E01BF6" w:rsidRPr="00C377CA" w:rsidRDefault="00E01BF6" w:rsidP="00651167">
            <w:pPr>
              <w:jc w:val="center"/>
              <w:rPr>
                <w:rFonts w:asciiTheme="minorHAnsi" w:hAnsiTheme="minorHAnsi" w:cstheme="minorHAnsi"/>
                <w:sz w:val="20"/>
                <w:szCs w:val="20"/>
              </w:rPr>
            </w:pPr>
            <w:r w:rsidRPr="00F4401A">
              <w:rPr>
                <w:sz w:val="20"/>
                <w:szCs w:val="20"/>
              </w:rPr>
              <w:t>-</w:t>
            </w:r>
          </w:p>
        </w:tc>
      </w:tr>
      <w:tr w:rsidR="00E01BF6" w:rsidRPr="00C377CA" w14:paraId="1C7E2D2D" w14:textId="77777777" w:rsidTr="007B357C">
        <w:trPr>
          <w:trHeight w:val="20"/>
        </w:trPr>
        <w:tc>
          <w:tcPr>
            <w:tcW w:w="0" w:type="auto"/>
            <w:vMerge/>
            <w:vAlign w:val="center"/>
          </w:tcPr>
          <w:p w14:paraId="21062A45" w14:textId="77777777" w:rsidR="00E01BF6" w:rsidRPr="00C377CA" w:rsidRDefault="00E01BF6" w:rsidP="00651167">
            <w:pPr>
              <w:rPr>
                <w:rFonts w:asciiTheme="minorHAnsi" w:hAnsiTheme="minorHAnsi" w:cstheme="minorHAnsi"/>
                <w:b/>
                <w:sz w:val="20"/>
                <w:szCs w:val="20"/>
              </w:rPr>
            </w:pPr>
          </w:p>
        </w:tc>
        <w:tc>
          <w:tcPr>
            <w:tcW w:w="1556" w:type="dxa"/>
            <w:vAlign w:val="center"/>
          </w:tcPr>
          <w:p w14:paraId="04905F21" w14:textId="77777777" w:rsidR="00E01BF6" w:rsidRPr="00C377CA" w:rsidRDefault="00E01BF6" w:rsidP="00651167">
            <w:pPr>
              <w:rPr>
                <w:rFonts w:asciiTheme="minorHAnsi" w:hAnsiTheme="minorHAnsi" w:cstheme="minorHAnsi"/>
                <w:sz w:val="20"/>
                <w:szCs w:val="20"/>
              </w:rPr>
            </w:pPr>
            <w:r w:rsidRPr="00C377CA">
              <w:rPr>
                <w:rFonts w:asciiTheme="minorHAnsi" w:hAnsiTheme="minorHAnsi" w:cstheme="minorHAnsi"/>
                <w:sz w:val="20"/>
                <w:szCs w:val="20"/>
              </w:rPr>
              <w:t>Capacity Development</w:t>
            </w:r>
          </w:p>
        </w:tc>
        <w:tc>
          <w:tcPr>
            <w:tcW w:w="1440" w:type="dxa"/>
            <w:vAlign w:val="center"/>
          </w:tcPr>
          <w:p w14:paraId="319E3919"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vAlign w:val="center"/>
          </w:tcPr>
          <w:p w14:paraId="1E015232"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170" w:type="dxa"/>
            <w:vAlign w:val="center"/>
          </w:tcPr>
          <w:p w14:paraId="33BB0109" w14:textId="77777777" w:rsidR="00E01BF6" w:rsidRPr="00C377CA" w:rsidRDefault="00E01BF6" w:rsidP="00651167">
            <w:pPr>
              <w:jc w:val="center"/>
              <w:rPr>
                <w:rFonts w:asciiTheme="minorHAnsi" w:hAnsiTheme="minorHAnsi" w:cstheme="minorHAnsi"/>
                <w:sz w:val="20"/>
                <w:szCs w:val="20"/>
              </w:rPr>
            </w:pPr>
            <w:r w:rsidRPr="00C377CA">
              <w:rPr>
                <w:rFonts w:asciiTheme="minorHAnsi" w:hAnsiTheme="minorHAnsi" w:cstheme="minorHAnsi"/>
                <w:sz w:val="20"/>
                <w:szCs w:val="20"/>
              </w:rPr>
              <w:t>0%</w:t>
            </w:r>
          </w:p>
        </w:tc>
        <w:tc>
          <w:tcPr>
            <w:tcW w:w="1260" w:type="dxa"/>
            <w:vAlign w:val="center"/>
          </w:tcPr>
          <w:p w14:paraId="28238AF1" w14:textId="77777777" w:rsidR="00E01BF6" w:rsidRPr="00C377CA" w:rsidRDefault="00E01BF6" w:rsidP="00651167">
            <w:pPr>
              <w:jc w:val="center"/>
              <w:rPr>
                <w:rFonts w:asciiTheme="minorHAnsi" w:hAnsiTheme="minorHAnsi" w:cstheme="minorHAnsi"/>
                <w:sz w:val="20"/>
                <w:szCs w:val="20"/>
              </w:rPr>
            </w:pPr>
            <w:r w:rsidRPr="00685F2A">
              <w:rPr>
                <w:sz w:val="20"/>
                <w:szCs w:val="20"/>
              </w:rPr>
              <w:t>0</w:t>
            </w:r>
          </w:p>
        </w:tc>
        <w:tc>
          <w:tcPr>
            <w:tcW w:w="1530" w:type="dxa"/>
            <w:vAlign w:val="center"/>
          </w:tcPr>
          <w:p w14:paraId="7695FCC4"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800" w:type="dxa"/>
            <w:vAlign w:val="center"/>
          </w:tcPr>
          <w:p w14:paraId="730ED466"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440" w:type="dxa"/>
            <w:vAlign w:val="center"/>
          </w:tcPr>
          <w:p w14:paraId="1AF74E29" w14:textId="77777777" w:rsidR="00E01BF6" w:rsidRPr="00C377CA" w:rsidRDefault="00E01BF6" w:rsidP="00651167">
            <w:pPr>
              <w:jc w:val="center"/>
              <w:rPr>
                <w:rFonts w:asciiTheme="minorHAnsi" w:hAnsiTheme="minorHAnsi" w:cstheme="minorHAnsi"/>
                <w:sz w:val="20"/>
                <w:szCs w:val="20"/>
              </w:rPr>
            </w:pPr>
            <w:r w:rsidRPr="00F4401A">
              <w:rPr>
                <w:sz w:val="20"/>
                <w:szCs w:val="20"/>
              </w:rPr>
              <w:t>-</w:t>
            </w:r>
          </w:p>
        </w:tc>
      </w:tr>
      <w:tr w:rsidR="00E01BF6" w:rsidRPr="00C377CA" w14:paraId="19012FB0" w14:textId="77777777" w:rsidTr="007B357C">
        <w:trPr>
          <w:trHeight w:val="20"/>
        </w:trPr>
        <w:tc>
          <w:tcPr>
            <w:tcW w:w="0" w:type="auto"/>
            <w:vMerge/>
            <w:vAlign w:val="center"/>
          </w:tcPr>
          <w:p w14:paraId="2F97C641" w14:textId="77777777" w:rsidR="00E01BF6" w:rsidRPr="00C377CA" w:rsidRDefault="00E01BF6" w:rsidP="00651167">
            <w:pPr>
              <w:rPr>
                <w:rFonts w:asciiTheme="minorHAnsi" w:hAnsiTheme="minorHAnsi" w:cstheme="minorHAnsi"/>
                <w:b/>
                <w:sz w:val="20"/>
                <w:szCs w:val="20"/>
              </w:rPr>
            </w:pPr>
          </w:p>
        </w:tc>
        <w:tc>
          <w:tcPr>
            <w:tcW w:w="1556" w:type="dxa"/>
            <w:vAlign w:val="center"/>
          </w:tcPr>
          <w:p w14:paraId="6C9D7A36" w14:textId="77777777" w:rsidR="00E01BF6" w:rsidRPr="00C377CA" w:rsidRDefault="00E01BF6" w:rsidP="00651167">
            <w:pPr>
              <w:rPr>
                <w:rFonts w:asciiTheme="minorHAnsi" w:hAnsiTheme="minorHAnsi" w:cstheme="minorHAnsi"/>
                <w:sz w:val="20"/>
                <w:szCs w:val="20"/>
              </w:rPr>
            </w:pPr>
            <w:r w:rsidRPr="00C377CA">
              <w:rPr>
                <w:rFonts w:asciiTheme="minorHAnsi" w:hAnsiTheme="minorHAnsi" w:cstheme="minorHAnsi"/>
                <w:sz w:val="20"/>
                <w:szCs w:val="20"/>
              </w:rPr>
              <w:t>Source Water Assessment</w:t>
            </w:r>
          </w:p>
        </w:tc>
        <w:tc>
          <w:tcPr>
            <w:tcW w:w="1440" w:type="dxa"/>
            <w:vAlign w:val="center"/>
          </w:tcPr>
          <w:p w14:paraId="70665835"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w:t>
            </w:r>
          </w:p>
        </w:tc>
        <w:tc>
          <w:tcPr>
            <w:tcW w:w="1440" w:type="dxa"/>
            <w:vAlign w:val="center"/>
          </w:tcPr>
          <w:p w14:paraId="2152ED5B" w14:textId="77777777" w:rsidR="00E01BF6" w:rsidRPr="00C377CA" w:rsidRDefault="00E01BF6" w:rsidP="00651167">
            <w:pPr>
              <w:jc w:val="center"/>
              <w:rPr>
                <w:rFonts w:asciiTheme="minorHAnsi" w:hAnsiTheme="minorHAnsi" w:cstheme="minorHAnsi"/>
                <w:sz w:val="20"/>
                <w:szCs w:val="20"/>
              </w:rPr>
            </w:pPr>
            <w:r w:rsidRPr="00C377CA">
              <w:rPr>
                <w:rFonts w:asciiTheme="minorHAnsi" w:hAnsiTheme="minorHAnsi" w:cstheme="minorHAnsi"/>
                <w:sz w:val="20"/>
                <w:szCs w:val="20"/>
              </w:rPr>
              <w:t>-</w:t>
            </w:r>
          </w:p>
        </w:tc>
        <w:tc>
          <w:tcPr>
            <w:tcW w:w="1170" w:type="dxa"/>
            <w:vAlign w:val="center"/>
          </w:tcPr>
          <w:p w14:paraId="05687888" w14:textId="77777777" w:rsidR="00E01BF6" w:rsidRPr="00C377CA" w:rsidRDefault="00E01BF6" w:rsidP="00651167">
            <w:pPr>
              <w:jc w:val="center"/>
              <w:rPr>
                <w:rFonts w:asciiTheme="minorHAnsi" w:hAnsiTheme="minorHAnsi" w:cstheme="minorHAnsi"/>
                <w:sz w:val="20"/>
                <w:szCs w:val="20"/>
              </w:rPr>
            </w:pPr>
            <w:r w:rsidRPr="00C377CA">
              <w:rPr>
                <w:rFonts w:asciiTheme="minorHAnsi" w:hAnsiTheme="minorHAnsi" w:cstheme="minorHAnsi"/>
                <w:sz w:val="20"/>
                <w:szCs w:val="20"/>
              </w:rPr>
              <w:t>-</w:t>
            </w:r>
          </w:p>
        </w:tc>
        <w:tc>
          <w:tcPr>
            <w:tcW w:w="1260" w:type="dxa"/>
            <w:vAlign w:val="center"/>
          </w:tcPr>
          <w:p w14:paraId="13E49CED" w14:textId="77777777" w:rsidR="00E01BF6" w:rsidRPr="00C377CA" w:rsidRDefault="00E01BF6" w:rsidP="00651167">
            <w:pPr>
              <w:jc w:val="center"/>
              <w:rPr>
                <w:rFonts w:asciiTheme="minorHAnsi" w:hAnsiTheme="minorHAnsi" w:cstheme="minorHAnsi"/>
                <w:sz w:val="20"/>
                <w:szCs w:val="20"/>
              </w:rPr>
            </w:pPr>
            <w:r w:rsidRPr="00685F2A">
              <w:rPr>
                <w:sz w:val="20"/>
                <w:szCs w:val="20"/>
              </w:rPr>
              <w:t>0</w:t>
            </w:r>
          </w:p>
        </w:tc>
        <w:tc>
          <w:tcPr>
            <w:tcW w:w="1530" w:type="dxa"/>
            <w:vAlign w:val="center"/>
          </w:tcPr>
          <w:p w14:paraId="4464E752"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800" w:type="dxa"/>
            <w:vAlign w:val="center"/>
          </w:tcPr>
          <w:p w14:paraId="6E0B099B"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440" w:type="dxa"/>
            <w:vAlign w:val="center"/>
          </w:tcPr>
          <w:p w14:paraId="387C70D3" w14:textId="77777777" w:rsidR="00E01BF6" w:rsidRPr="00C377CA" w:rsidRDefault="00E01BF6" w:rsidP="00651167">
            <w:pPr>
              <w:jc w:val="center"/>
              <w:rPr>
                <w:rFonts w:asciiTheme="minorHAnsi" w:hAnsiTheme="minorHAnsi" w:cstheme="minorHAnsi"/>
                <w:sz w:val="20"/>
                <w:szCs w:val="20"/>
              </w:rPr>
            </w:pPr>
            <w:r w:rsidRPr="00F4401A">
              <w:rPr>
                <w:sz w:val="20"/>
                <w:szCs w:val="20"/>
              </w:rPr>
              <w:t>-</w:t>
            </w:r>
          </w:p>
        </w:tc>
      </w:tr>
      <w:tr w:rsidR="00E01BF6" w:rsidRPr="00C377CA" w14:paraId="079DE11C" w14:textId="77777777" w:rsidTr="007B357C">
        <w:trPr>
          <w:trHeight w:val="20"/>
        </w:trPr>
        <w:tc>
          <w:tcPr>
            <w:tcW w:w="0" w:type="auto"/>
            <w:vMerge/>
            <w:vAlign w:val="center"/>
          </w:tcPr>
          <w:p w14:paraId="5D8F2F07" w14:textId="77777777" w:rsidR="00E01BF6" w:rsidRPr="00C377CA" w:rsidRDefault="00E01BF6" w:rsidP="00651167">
            <w:pPr>
              <w:rPr>
                <w:rFonts w:asciiTheme="minorHAnsi" w:hAnsiTheme="minorHAnsi" w:cstheme="minorHAnsi"/>
                <w:b/>
                <w:sz w:val="20"/>
                <w:szCs w:val="20"/>
              </w:rPr>
            </w:pPr>
          </w:p>
        </w:tc>
        <w:tc>
          <w:tcPr>
            <w:tcW w:w="1556" w:type="dxa"/>
            <w:tcBorders>
              <w:bottom w:val="single" w:sz="12" w:space="0" w:color="auto"/>
            </w:tcBorders>
            <w:vAlign w:val="center"/>
          </w:tcPr>
          <w:p w14:paraId="590C134E" w14:textId="77777777" w:rsidR="00E01BF6" w:rsidRPr="00C377CA" w:rsidRDefault="00E01BF6" w:rsidP="00651167">
            <w:pPr>
              <w:rPr>
                <w:rFonts w:asciiTheme="minorHAnsi" w:hAnsiTheme="minorHAnsi" w:cstheme="minorHAnsi"/>
                <w:sz w:val="20"/>
                <w:szCs w:val="20"/>
              </w:rPr>
            </w:pPr>
            <w:r w:rsidRPr="00C377CA">
              <w:rPr>
                <w:rFonts w:asciiTheme="minorHAnsi" w:hAnsiTheme="minorHAnsi" w:cstheme="minorHAnsi"/>
                <w:sz w:val="20"/>
                <w:szCs w:val="20"/>
              </w:rPr>
              <w:t>Wellhead Protection</w:t>
            </w:r>
          </w:p>
        </w:tc>
        <w:tc>
          <w:tcPr>
            <w:tcW w:w="1440" w:type="dxa"/>
            <w:tcBorders>
              <w:bottom w:val="single" w:sz="12" w:space="0" w:color="auto"/>
            </w:tcBorders>
            <w:vAlign w:val="center"/>
          </w:tcPr>
          <w:p w14:paraId="3F4D8987"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440" w:type="dxa"/>
            <w:tcBorders>
              <w:bottom w:val="single" w:sz="12" w:space="0" w:color="auto"/>
            </w:tcBorders>
            <w:vAlign w:val="center"/>
          </w:tcPr>
          <w:p w14:paraId="1CA1D2FE"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p>
        </w:tc>
        <w:tc>
          <w:tcPr>
            <w:tcW w:w="1170" w:type="dxa"/>
            <w:tcBorders>
              <w:bottom w:val="single" w:sz="12" w:space="0" w:color="auto"/>
            </w:tcBorders>
            <w:vAlign w:val="center"/>
          </w:tcPr>
          <w:p w14:paraId="072810AD" w14:textId="77777777" w:rsidR="00E01BF6" w:rsidRPr="00C377CA" w:rsidRDefault="00E01BF6" w:rsidP="00651167">
            <w:pPr>
              <w:jc w:val="center"/>
              <w:rPr>
                <w:rFonts w:asciiTheme="minorHAnsi" w:hAnsiTheme="minorHAnsi" w:cstheme="minorHAnsi"/>
                <w:sz w:val="20"/>
                <w:szCs w:val="20"/>
              </w:rPr>
            </w:pPr>
            <w:r>
              <w:rPr>
                <w:rFonts w:asciiTheme="minorHAnsi" w:hAnsiTheme="minorHAnsi" w:cstheme="minorHAnsi"/>
                <w:sz w:val="20"/>
                <w:szCs w:val="20"/>
              </w:rPr>
              <w:t>0</w:t>
            </w:r>
            <w:r w:rsidRPr="00C377CA">
              <w:rPr>
                <w:rFonts w:asciiTheme="minorHAnsi" w:hAnsiTheme="minorHAnsi" w:cstheme="minorHAnsi"/>
                <w:sz w:val="20"/>
                <w:szCs w:val="20"/>
              </w:rPr>
              <w:t>%</w:t>
            </w:r>
          </w:p>
        </w:tc>
        <w:tc>
          <w:tcPr>
            <w:tcW w:w="1260" w:type="dxa"/>
            <w:tcBorders>
              <w:bottom w:val="single" w:sz="12" w:space="0" w:color="auto"/>
            </w:tcBorders>
            <w:vAlign w:val="center"/>
          </w:tcPr>
          <w:p w14:paraId="27146B61" w14:textId="77777777" w:rsidR="00E01BF6" w:rsidRPr="00C377CA" w:rsidRDefault="00E01BF6" w:rsidP="00651167">
            <w:pPr>
              <w:jc w:val="center"/>
              <w:rPr>
                <w:rFonts w:asciiTheme="minorHAnsi" w:hAnsiTheme="minorHAnsi" w:cstheme="minorHAnsi"/>
                <w:sz w:val="20"/>
                <w:szCs w:val="20"/>
              </w:rPr>
            </w:pPr>
            <w:r>
              <w:rPr>
                <w:sz w:val="20"/>
                <w:szCs w:val="20"/>
              </w:rPr>
              <w:t>0</w:t>
            </w:r>
          </w:p>
        </w:tc>
        <w:tc>
          <w:tcPr>
            <w:tcW w:w="1530" w:type="dxa"/>
            <w:tcBorders>
              <w:bottom w:val="single" w:sz="12" w:space="0" w:color="auto"/>
            </w:tcBorders>
            <w:vAlign w:val="center"/>
          </w:tcPr>
          <w:p w14:paraId="55683A5C"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800" w:type="dxa"/>
            <w:tcBorders>
              <w:bottom w:val="single" w:sz="12" w:space="0" w:color="auto"/>
            </w:tcBorders>
            <w:vAlign w:val="center"/>
          </w:tcPr>
          <w:p w14:paraId="1A93B843" w14:textId="77777777" w:rsidR="00E01BF6" w:rsidRPr="00C377CA" w:rsidRDefault="00E01BF6" w:rsidP="00651167">
            <w:pPr>
              <w:jc w:val="center"/>
              <w:rPr>
                <w:rFonts w:asciiTheme="minorHAnsi" w:hAnsiTheme="minorHAnsi" w:cstheme="minorHAnsi"/>
                <w:sz w:val="20"/>
                <w:szCs w:val="20"/>
              </w:rPr>
            </w:pPr>
            <w:r w:rsidRPr="0037743E">
              <w:rPr>
                <w:sz w:val="20"/>
                <w:szCs w:val="20"/>
              </w:rPr>
              <w:t>-</w:t>
            </w:r>
          </w:p>
        </w:tc>
        <w:tc>
          <w:tcPr>
            <w:tcW w:w="1440" w:type="dxa"/>
            <w:tcBorders>
              <w:bottom w:val="single" w:sz="12" w:space="0" w:color="auto"/>
            </w:tcBorders>
            <w:vAlign w:val="center"/>
          </w:tcPr>
          <w:p w14:paraId="301097D7" w14:textId="77777777" w:rsidR="00E01BF6" w:rsidRPr="00C377CA" w:rsidRDefault="00E01BF6" w:rsidP="00651167">
            <w:pPr>
              <w:jc w:val="center"/>
              <w:rPr>
                <w:rFonts w:asciiTheme="minorHAnsi" w:hAnsiTheme="minorHAnsi" w:cstheme="minorHAnsi"/>
                <w:sz w:val="20"/>
                <w:szCs w:val="20"/>
              </w:rPr>
            </w:pPr>
            <w:r w:rsidRPr="00F4401A">
              <w:rPr>
                <w:sz w:val="20"/>
                <w:szCs w:val="20"/>
              </w:rPr>
              <w:t>-</w:t>
            </w:r>
          </w:p>
        </w:tc>
      </w:tr>
      <w:tr w:rsidR="00E01BF6" w:rsidRPr="00C377CA" w14:paraId="55C95B18" w14:textId="77777777" w:rsidTr="007B357C">
        <w:trPr>
          <w:trHeight w:val="375"/>
        </w:trPr>
        <w:tc>
          <w:tcPr>
            <w:tcW w:w="2790" w:type="dxa"/>
            <w:gridSpan w:val="2"/>
            <w:tcBorders>
              <w:top w:val="single" w:sz="12" w:space="0" w:color="auto"/>
              <w:bottom w:val="single" w:sz="12" w:space="0" w:color="auto"/>
              <w:right w:val="nil"/>
            </w:tcBorders>
            <w:vAlign w:val="center"/>
          </w:tcPr>
          <w:p w14:paraId="4ED1A605" w14:textId="77777777" w:rsidR="00E01BF6" w:rsidRPr="00C377CA" w:rsidRDefault="00E01BF6" w:rsidP="00651167">
            <w:pPr>
              <w:rPr>
                <w:rFonts w:asciiTheme="minorHAnsi" w:hAnsiTheme="minorHAnsi" w:cstheme="minorHAnsi"/>
                <w:b/>
                <w:sz w:val="20"/>
                <w:szCs w:val="20"/>
              </w:rPr>
            </w:pPr>
            <w:r w:rsidRPr="00C377CA">
              <w:rPr>
                <w:rFonts w:asciiTheme="minorHAnsi" w:hAnsiTheme="minorHAnsi" w:cstheme="minorHAnsi"/>
                <w:b/>
                <w:sz w:val="20"/>
                <w:szCs w:val="20"/>
              </w:rPr>
              <w:t>Total</w:t>
            </w:r>
          </w:p>
        </w:tc>
        <w:tc>
          <w:tcPr>
            <w:tcW w:w="1440" w:type="dxa"/>
            <w:tcBorders>
              <w:top w:val="single" w:sz="12" w:space="0" w:color="auto"/>
              <w:left w:val="nil"/>
              <w:bottom w:val="single" w:sz="12" w:space="0" w:color="auto"/>
              <w:right w:val="nil"/>
            </w:tcBorders>
            <w:vAlign w:val="center"/>
          </w:tcPr>
          <w:p w14:paraId="5BDAE628" w14:textId="787F0C8D" w:rsidR="00E01BF6" w:rsidRPr="00C377CA" w:rsidRDefault="00E01BF6" w:rsidP="00651167">
            <w:pPr>
              <w:jc w:val="center"/>
              <w:rPr>
                <w:rFonts w:asciiTheme="minorHAnsi" w:hAnsiTheme="minorHAnsi" w:cstheme="minorHAnsi"/>
                <w:b/>
                <w:sz w:val="20"/>
                <w:szCs w:val="20"/>
              </w:rPr>
            </w:pPr>
            <w:r w:rsidRPr="00C377CA">
              <w:rPr>
                <w:rFonts w:asciiTheme="minorHAnsi" w:hAnsiTheme="minorHAnsi" w:cstheme="minorHAnsi"/>
                <w:b/>
                <w:sz w:val="20"/>
                <w:szCs w:val="20"/>
              </w:rPr>
              <w:t>$</w:t>
            </w:r>
            <w:r w:rsidR="00982DEE">
              <w:rPr>
                <w:rFonts w:asciiTheme="minorHAnsi" w:hAnsiTheme="minorHAnsi" w:cstheme="minorHAnsi"/>
                <w:b/>
                <w:sz w:val="20"/>
                <w:szCs w:val="20"/>
              </w:rPr>
              <w:t>305,600</w:t>
            </w:r>
          </w:p>
        </w:tc>
        <w:tc>
          <w:tcPr>
            <w:tcW w:w="1440" w:type="dxa"/>
            <w:tcBorders>
              <w:top w:val="single" w:sz="12" w:space="0" w:color="auto"/>
              <w:left w:val="nil"/>
              <w:bottom w:val="single" w:sz="12" w:space="0" w:color="auto"/>
              <w:right w:val="nil"/>
            </w:tcBorders>
            <w:vAlign w:val="center"/>
          </w:tcPr>
          <w:p w14:paraId="77BC6C49" w14:textId="7287E5FA" w:rsidR="00E01BF6" w:rsidRPr="00C377CA" w:rsidRDefault="00E01BF6" w:rsidP="00651167">
            <w:pPr>
              <w:jc w:val="center"/>
              <w:rPr>
                <w:rFonts w:asciiTheme="minorHAnsi" w:hAnsiTheme="minorHAnsi" w:cstheme="minorHAnsi"/>
                <w:b/>
                <w:sz w:val="20"/>
                <w:szCs w:val="20"/>
              </w:rPr>
            </w:pPr>
            <w:r w:rsidRPr="00C377CA">
              <w:rPr>
                <w:rFonts w:asciiTheme="minorHAnsi" w:hAnsiTheme="minorHAnsi" w:cstheme="minorHAnsi"/>
                <w:b/>
                <w:sz w:val="20"/>
                <w:szCs w:val="20"/>
              </w:rPr>
              <w:t>$</w:t>
            </w:r>
            <w:r w:rsidR="00293EB4">
              <w:rPr>
                <w:rFonts w:asciiTheme="minorHAnsi" w:hAnsiTheme="minorHAnsi" w:cstheme="minorHAnsi"/>
                <w:b/>
                <w:sz w:val="20"/>
                <w:szCs w:val="20"/>
              </w:rPr>
              <w:t>305,600</w:t>
            </w:r>
          </w:p>
        </w:tc>
        <w:tc>
          <w:tcPr>
            <w:tcW w:w="1170" w:type="dxa"/>
            <w:tcBorders>
              <w:top w:val="single" w:sz="12" w:space="0" w:color="auto"/>
              <w:left w:val="nil"/>
              <w:bottom w:val="single" w:sz="12" w:space="0" w:color="auto"/>
              <w:right w:val="nil"/>
            </w:tcBorders>
            <w:vAlign w:val="center"/>
          </w:tcPr>
          <w:p w14:paraId="129331F8" w14:textId="1E63D985" w:rsidR="00E01BF6" w:rsidRPr="00C377CA" w:rsidRDefault="00293EB4" w:rsidP="00651167">
            <w:pPr>
              <w:jc w:val="center"/>
              <w:rPr>
                <w:rFonts w:asciiTheme="minorHAnsi" w:hAnsiTheme="minorHAnsi" w:cstheme="minorHAnsi"/>
                <w:b/>
                <w:sz w:val="20"/>
                <w:szCs w:val="20"/>
              </w:rPr>
            </w:pPr>
            <w:r>
              <w:rPr>
                <w:rFonts w:asciiTheme="minorHAnsi" w:hAnsiTheme="minorHAnsi" w:cstheme="minorHAnsi"/>
                <w:b/>
                <w:sz w:val="20"/>
                <w:szCs w:val="20"/>
              </w:rPr>
              <w:t>4.0</w:t>
            </w:r>
            <w:r w:rsidR="00E01BF6" w:rsidRPr="00C377CA">
              <w:rPr>
                <w:rFonts w:asciiTheme="minorHAnsi" w:hAnsiTheme="minorHAnsi" w:cstheme="minorHAnsi"/>
                <w:b/>
                <w:sz w:val="20"/>
                <w:szCs w:val="20"/>
              </w:rPr>
              <w:t>%</w:t>
            </w:r>
          </w:p>
        </w:tc>
        <w:tc>
          <w:tcPr>
            <w:tcW w:w="1260" w:type="dxa"/>
            <w:tcBorders>
              <w:top w:val="single" w:sz="12" w:space="0" w:color="auto"/>
              <w:left w:val="nil"/>
              <w:bottom w:val="single" w:sz="12" w:space="0" w:color="auto"/>
              <w:right w:val="nil"/>
            </w:tcBorders>
            <w:vAlign w:val="center"/>
          </w:tcPr>
          <w:p w14:paraId="33F0BDE7" w14:textId="4F09BFB3" w:rsidR="00E01BF6" w:rsidRPr="00C377CA" w:rsidRDefault="00E01BF6" w:rsidP="00651167">
            <w:pPr>
              <w:jc w:val="center"/>
              <w:rPr>
                <w:rFonts w:asciiTheme="minorHAnsi" w:hAnsiTheme="minorHAnsi" w:cstheme="minorHAnsi"/>
                <w:b/>
                <w:sz w:val="20"/>
                <w:szCs w:val="20"/>
              </w:rPr>
            </w:pPr>
            <w:r>
              <w:rPr>
                <w:rFonts w:asciiTheme="minorHAnsi" w:hAnsiTheme="minorHAnsi" w:cstheme="minorHAnsi"/>
                <w:b/>
                <w:sz w:val="20"/>
                <w:szCs w:val="20"/>
              </w:rPr>
              <w:t>$</w:t>
            </w:r>
            <w:r w:rsidR="00982DEE">
              <w:rPr>
                <w:rFonts w:asciiTheme="minorHAnsi" w:hAnsiTheme="minorHAnsi" w:cstheme="minorHAnsi"/>
                <w:b/>
                <w:sz w:val="20"/>
                <w:szCs w:val="20"/>
              </w:rPr>
              <w:t>611,200</w:t>
            </w:r>
          </w:p>
        </w:tc>
        <w:tc>
          <w:tcPr>
            <w:tcW w:w="1530" w:type="dxa"/>
            <w:tcBorders>
              <w:top w:val="single" w:sz="12" w:space="0" w:color="auto"/>
              <w:left w:val="nil"/>
              <w:bottom w:val="single" w:sz="12" w:space="0" w:color="auto"/>
              <w:right w:val="nil"/>
            </w:tcBorders>
            <w:vAlign w:val="center"/>
          </w:tcPr>
          <w:p w14:paraId="35B21359" w14:textId="209A3143" w:rsidR="00E01BF6" w:rsidRPr="00C377CA" w:rsidRDefault="00D201D3" w:rsidP="00651167">
            <w:pPr>
              <w:jc w:val="center"/>
              <w:rPr>
                <w:rFonts w:asciiTheme="minorHAnsi" w:hAnsiTheme="minorHAnsi" w:cstheme="minorHAnsi"/>
                <w:b/>
                <w:sz w:val="20"/>
                <w:szCs w:val="20"/>
              </w:rPr>
            </w:pPr>
            <w:r w:rsidRPr="00C377CA">
              <w:rPr>
                <w:rFonts w:asciiTheme="minorHAnsi" w:hAnsiTheme="minorHAnsi" w:cstheme="minorHAnsi"/>
                <w:b/>
                <w:sz w:val="20"/>
                <w:szCs w:val="20"/>
              </w:rPr>
              <w:t>$</w:t>
            </w:r>
            <w:r>
              <w:rPr>
                <w:rFonts w:asciiTheme="minorHAnsi" w:hAnsiTheme="minorHAnsi" w:cstheme="minorHAnsi"/>
                <w:b/>
                <w:sz w:val="20"/>
                <w:szCs w:val="20"/>
              </w:rPr>
              <w:t>4,570,400</w:t>
            </w:r>
          </w:p>
        </w:tc>
        <w:tc>
          <w:tcPr>
            <w:tcW w:w="1800" w:type="dxa"/>
            <w:tcBorders>
              <w:top w:val="single" w:sz="12" w:space="0" w:color="auto"/>
              <w:left w:val="nil"/>
              <w:bottom w:val="single" w:sz="12" w:space="0" w:color="auto"/>
              <w:right w:val="nil"/>
            </w:tcBorders>
            <w:vAlign w:val="center"/>
          </w:tcPr>
          <w:p w14:paraId="0B9CFB4D" w14:textId="77777777" w:rsidR="00E01BF6" w:rsidRPr="00C377CA" w:rsidRDefault="00E01BF6" w:rsidP="00651167">
            <w:pPr>
              <w:jc w:val="center"/>
              <w:rPr>
                <w:rFonts w:asciiTheme="minorHAnsi" w:hAnsiTheme="minorHAnsi" w:cstheme="minorHAnsi"/>
                <w:b/>
                <w:sz w:val="20"/>
                <w:szCs w:val="20"/>
              </w:rPr>
            </w:pPr>
            <w:r w:rsidRPr="00C377CA">
              <w:rPr>
                <w:rFonts w:asciiTheme="minorHAnsi" w:hAnsiTheme="minorHAnsi" w:cstheme="minorHAnsi"/>
                <w:b/>
                <w:sz w:val="20"/>
                <w:szCs w:val="20"/>
              </w:rPr>
              <w:t>$</w:t>
            </w:r>
            <w:r>
              <w:rPr>
                <w:rFonts w:asciiTheme="minorHAnsi" w:hAnsiTheme="minorHAnsi" w:cstheme="minorHAnsi"/>
                <w:b/>
                <w:sz w:val="20"/>
                <w:szCs w:val="20"/>
              </w:rPr>
              <w:t>0</w:t>
            </w:r>
          </w:p>
        </w:tc>
        <w:tc>
          <w:tcPr>
            <w:tcW w:w="1440" w:type="dxa"/>
            <w:tcBorders>
              <w:top w:val="single" w:sz="12" w:space="0" w:color="auto"/>
              <w:left w:val="nil"/>
              <w:bottom w:val="single" w:sz="12" w:space="0" w:color="auto"/>
            </w:tcBorders>
            <w:vAlign w:val="center"/>
          </w:tcPr>
          <w:p w14:paraId="206174C5" w14:textId="1219F030" w:rsidR="00E01BF6" w:rsidRPr="00C377CA" w:rsidRDefault="00E01BF6" w:rsidP="00651167">
            <w:pPr>
              <w:jc w:val="center"/>
              <w:rPr>
                <w:rFonts w:asciiTheme="minorHAnsi" w:hAnsiTheme="minorHAnsi" w:cstheme="minorHAnsi"/>
                <w:b/>
                <w:sz w:val="20"/>
                <w:szCs w:val="20"/>
              </w:rPr>
            </w:pPr>
            <w:r w:rsidRPr="00C377CA">
              <w:rPr>
                <w:rFonts w:asciiTheme="minorHAnsi" w:hAnsiTheme="minorHAnsi" w:cstheme="minorHAnsi"/>
                <w:b/>
                <w:sz w:val="20"/>
                <w:szCs w:val="20"/>
              </w:rPr>
              <w:t>$</w:t>
            </w:r>
            <w:r>
              <w:rPr>
                <w:rFonts w:asciiTheme="minorHAnsi" w:hAnsiTheme="minorHAnsi" w:cstheme="minorHAnsi"/>
                <w:b/>
                <w:sz w:val="20"/>
                <w:szCs w:val="20"/>
              </w:rPr>
              <w:t>4,</w:t>
            </w:r>
            <w:r w:rsidR="00D201D3">
              <w:rPr>
                <w:rFonts w:asciiTheme="minorHAnsi" w:hAnsiTheme="minorHAnsi" w:cstheme="minorHAnsi"/>
                <w:b/>
                <w:sz w:val="20"/>
                <w:szCs w:val="20"/>
              </w:rPr>
              <w:t>570</w:t>
            </w:r>
            <w:r>
              <w:rPr>
                <w:rFonts w:asciiTheme="minorHAnsi" w:hAnsiTheme="minorHAnsi" w:cstheme="minorHAnsi"/>
                <w:b/>
                <w:sz w:val="20"/>
                <w:szCs w:val="20"/>
              </w:rPr>
              <w:t>,</w:t>
            </w:r>
            <w:r w:rsidR="00D201D3">
              <w:rPr>
                <w:rFonts w:asciiTheme="minorHAnsi" w:hAnsiTheme="minorHAnsi" w:cstheme="minorHAnsi"/>
                <w:b/>
                <w:sz w:val="20"/>
                <w:szCs w:val="20"/>
              </w:rPr>
              <w:t>4</w:t>
            </w:r>
            <w:r>
              <w:rPr>
                <w:rFonts w:asciiTheme="minorHAnsi" w:hAnsiTheme="minorHAnsi" w:cstheme="minorHAnsi"/>
                <w:b/>
                <w:sz w:val="20"/>
                <w:szCs w:val="20"/>
              </w:rPr>
              <w:t>00</w:t>
            </w:r>
          </w:p>
        </w:tc>
      </w:tr>
    </w:tbl>
    <w:p w14:paraId="28B88408" w14:textId="77777777" w:rsidR="00E01BF6" w:rsidRPr="00CE7417" w:rsidRDefault="00E01BF6" w:rsidP="00E01BF6">
      <w:pPr>
        <w:sectPr w:rsidR="00E01BF6" w:rsidRPr="00CE7417" w:rsidSect="00E01BF6">
          <w:footerReference w:type="default" r:id="rId24"/>
          <w:pgSz w:w="15840" w:h="12240" w:orient="landscape"/>
          <w:pgMar w:top="1440" w:right="1440" w:bottom="1440" w:left="1440" w:header="720" w:footer="720" w:gutter="0"/>
          <w:cols w:space="720"/>
          <w:noEndnote/>
          <w:docGrid w:linePitch="299"/>
        </w:sectPr>
      </w:pPr>
    </w:p>
    <w:p w14:paraId="69ACCC76" w14:textId="17385AC5" w:rsidR="005C6576" w:rsidRDefault="005B2BE4" w:rsidP="005B2BE4">
      <w:r w:rsidRPr="00C41CF6">
        <w:rPr>
          <w:b/>
          <w:bCs/>
        </w:rPr>
        <w:lastRenderedPageBreak/>
        <w:t xml:space="preserve">Table </w:t>
      </w:r>
      <w:r w:rsidR="00E01BF6">
        <w:rPr>
          <w:b/>
          <w:bCs/>
        </w:rPr>
        <w:t>3</w:t>
      </w:r>
      <w:r>
        <w:t xml:space="preserve"> shows the funding status for the </w:t>
      </w:r>
      <w:r w:rsidR="009C6077">
        <w:t xml:space="preserve">DWSRF </w:t>
      </w:r>
      <w:r w:rsidR="00C41CF6">
        <w:t>EC</w:t>
      </w:r>
      <w:r>
        <w:t xml:space="preserve"> gran</w:t>
      </w:r>
      <w:r w:rsidR="00E01BF6">
        <w:t>t</w:t>
      </w:r>
      <w:r w:rsidR="005C6576">
        <w:t>.</w:t>
      </w:r>
    </w:p>
    <w:p w14:paraId="13FEC83E" w14:textId="77777777" w:rsidR="00213CEE" w:rsidRDefault="00213CEE" w:rsidP="005B2BE4"/>
    <w:p w14:paraId="12C19DF9" w14:textId="1D29FCFD" w:rsidR="00EC0C2E" w:rsidRDefault="003A7218" w:rsidP="003A7218">
      <w:pPr>
        <w:pStyle w:val="Caption"/>
      </w:pPr>
      <w:bookmarkStart w:id="103" w:name="_Toc105756732"/>
      <w:bookmarkStart w:id="104" w:name="_Toc230351716"/>
      <w:r>
        <w:t xml:space="preserve">Table </w:t>
      </w:r>
      <w:r>
        <w:fldChar w:fldCharType="begin"/>
      </w:r>
      <w:r>
        <w:instrText xml:space="preserve"> SEQ Table \* ARABIC </w:instrText>
      </w:r>
      <w:r>
        <w:fldChar w:fldCharType="separate"/>
      </w:r>
      <w:r>
        <w:rPr>
          <w:noProof/>
        </w:rPr>
        <w:t>3</w:t>
      </w:r>
      <w:r>
        <w:fldChar w:fldCharType="end"/>
      </w:r>
      <w:r w:rsidR="00EC0C2E">
        <w:t xml:space="preserve">. DWSRF </w:t>
      </w:r>
      <w:r w:rsidR="00C41CF6">
        <w:t>EC</w:t>
      </w:r>
      <w:r w:rsidR="00EC0C2E">
        <w:t xml:space="preserve"> Grant Funding Status</w:t>
      </w:r>
      <w:bookmarkEnd w:id="103"/>
      <w:bookmarkEnd w:id="104"/>
    </w:p>
    <w:bookmarkEnd w:id="95"/>
    <w:bookmarkEnd w:id="96"/>
    <w:tbl>
      <w:tblPr>
        <w:tblStyle w:val="TableGrid"/>
        <w:tblW w:w="5005" w:type="pct"/>
        <w:tblInd w:w="-5" w:type="dxa"/>
        <w:tblLook w:val="00A0" w:firstRow="1" w:lastRow="0" w:firstColumn="1" w:lastColumn="0" w:noHBand="0" w:noVBand="0"/>
      </w:tblPr>
      <w:tblGrid>
        <w:gridCol w:w="2880"/>
        <w:gridCol w:w="2430"/>
        <w:gridCol w:w="2430"/>
        <w:gridCol w:w="1619"/>
      </w:tblGrid>
      <w:tr w:rsidR="008D5760" w:rsidRPr="00855328" w14:paraId="32FAE857" w14:textId="77777777" w:rsidTr="00BC243F">
        <w:trPr>
          <w:trHeight w:val="20"/>
        </w:trPr>
        <w:tc>
          <w:tcPr>
            <w:tcW w:w="1539" w:type="pct"/>
            <w:shd w:val="clear" w:color="auto" w:fill="auto"/>
            <w:vAlign w:val="center"/>
          </w:tcPr>
          <w:p w14:paraId="09BD55C4" w14:textId="77777777" w:rsidR="00855328" w:rsidRPr="00855328" w:rsidRDefault="00855328" w:rsidP="00EC0C2E">
            <w:pPr>
              <w:pStyle w:val="Caption"/>
            </w:pPr>
          </w:p>
        </w:tc>
        <w:tc>
          <w:tcPr>
            <w:tcW w:w="1298" w:type="pct"/>
            <w:vAlign w:val="center"/>
          </w:tcPr>
          <w:p w14:paraId="3F8FF780" w14:textId="605A9139" w:rsidR="00855328" w:rsidRPr="00855328" w:rsidRDefault="00855328" w:rsidP="00EC559A">
            <w:pPr>
              <w:rPr>
                <w:b/>
              </w:rPr>
            </w:pPr>
            <w:r w:rsidRPr="00855328">
              <w:rPr>
                <w:b/>
              </w:rPr>
              <w:t xml:space="preserve">Projected thru SFY </w:t>
            </w:r>
            <w:r w:rsidR="0001415E">
              <w:rPr>
                <w:b/>
              </w:rPr>
              <w:t>2026</w:t>
            </w:r>
          </w:p>
        </w:tc>
        <w:tc>
          <w:tcPr>
            <w:tcW w:w="1298" w:type="pct"/>
            <w:vAlign w:val="center"/>
          </w:tcPr>
          <w:p w14:paraId="1116C54A" w14:textId="14CE150D" w:rsidR="00855328" w:rsidRPr="00855328" w:rsidRDefault="00855328" w:rsidP="00EC559A">
            <w:pPr>
              <w:rPr>
                <w:b/>
              </w:rPr>
            </w:pPr>
            <w:r w:rsidRPr="00855328">
              <w:rPr>
                <w:b/>
              </w:rPr>
              <w:t xml:space="preserve">Projected for SFY </w:t>
            </w:r>
            <w:r w:rsidR="008D5760">
              <w:rPr>
                <w:b/>
              </w:rPr>
              <w:t>20</w:t>
            </w:r>
            <w:r w:rsidR="0001415E">
              <w:rPr>
                <w:b/>
              </w:rPr>
              <w:t>27</w:t>
            </w:r>
          </w:p>
        </w:tc>
        <w:tc>
          <w:tcPr>
            <w:tcW w:w="865" w:type="pct"/>
            <w:vAlign w:val="center"/>
          </w:tcPr>
          <w:p w14:paraId="319B6EEB" w14:textId="77777777" w:rsidR="00855328" w:rsidRPr="00855328" w:rsidRDefault="00855328" w:rsidP="00855328">
            <w:pPr>
              <w:rPr>
                <w:b/>
              </w:rPr>
            </w:pPr>
            <w:r w:rsidRPr="00855328">
              <w:rPr>
                <w:b/>
              </w:rPr>
              <w:t>Total</w:t>
            </w:r>
          </w:p>
        </w:tc>
      </w:tr>
      <w:tr w:rsidR="00855328" w:rsidRPr="00855328" w14:paraId="2737A952" w14:textId="77777777" w:rsidTr="794B56E0">
        <w:trPr>
          <w:trHeight w:val="20"/>
        </w:trPr>
        <w:tc>
          <w:tcPr>
            <w:tcW w:w="0" w:type="auto"/>
            <w:gridSpan w:val="4"/>
            <w:shd w:val="clear" w:color="auto" w:fill="D9D9D9" w:themeFill="background1" w:themeFillShade="D9"/>
            <w:vAlign w:val="center"/>
          </w:tcPr>
          <w:p w14:paraId="5EB02992" w14:textId="77777777" w:rsidR="00855328" w:rsidRPr="00855328" w:rsidRDefault="00855328" w:rsidP="00855328">
            <w:pPr>
              <w:rPr>
                <w:b/>
              </w:rPr>
            </w:pPr>
            <w:r w:rsidRPr="00855328">
              <w:rPr>
                <w:b/>
              </w:rPr>
              <w:t>SOURCE OF FUNDS</w:t>
            </w:r>
          </w:p>
        </w:tc>
      </w:tr>
      <w:tr w:rsidR="008D5760" w:rsidRPr="00855328" w14:paraId="73872284" w14:textId="77777777" w:rsidTr="00BC243F">
        <w:trPr>
          <w:trHeight w:val="20"/>
        </w:trPr>
        <w:tc>
          <w:tcPr>
            <w:tcW w:w="1539" w:type="pct"/>
            <w:vAlign w:val="center"/>
          </w:tcPr>
          <w:p w14:paraId="1D677C1E" w14:textId="77777777" w:rsidR="00855328" w:rsidRPr="00855328" w:rsidRDefault="00855328" w:rsidP="00855328">
            <w:r w:rsidRPr="00855328">
              <w:t>Federal Capitalization Grants</w:t>
            </w:r>
          </w:p>
        </w:tc>
        <w:tc>
          <w:tcPr>
            <w:tcW w:w="1298" w:type="pct"/>
            <w:vAlign w:val="center"/>
          </w:tcPr>
          <w:p w14:paraId="26114FC2" w14:textId="7B6079EB" w:rsidR="00855328" w:rsidRPr="00855328" w:rsidRDefault="00C41CF6" w:rsidP="004B7F03">
            <w:r>
              <w:t>$</w:t>
            </w:r>
            <w:r w:rsidR="00BC243F">
              <w:t>30,475,000</w:t>
            </w:r>
          </w:p>
        </w:tc>
        <w:tc>
          <w:tcPr>
            <w:tcW w:w="1298" w:type="pct"/>
            <w:vAlign w:val="center"/>
          </w:tcPr>
          <w:p w14:paraId="012D9C8C" w14:textId="411834F9" w:rsidR="00855328" w:rsidRPr="00855328" w:rsidRDefault="1B2A321C" w:rsidP="00272FE3">
            <w:r>
              <w:t>$</w:t>
            </w:r>
            <w:r w:rsidR="008D5760">
              <w:t>7,640</w:t>
            </w:r>
            <w:r w:rsidR="004A0A41">
              <w:t>,000</w:t>
            </w:r>
          </w:p>
        </w:tc>
        <w:tc>
          <w:tcPr>
            <w:tcW w:w="865" w:type="pct"/>
            <w:vAlign w:val="center"/>
          </w:tcPr>
          <w:p w14:paraId="4DDB5CE2" w14:textId="77777777" w:rsidR="00855328" w:rsidRPr="00855328" w:rsidRDefault="00855328" w:rsidP="00855328"/>
        </w:tc>
      </w:tr>
      <w:tr w:rsidR="008D5760" w:rsidRPr="00855328" w14:paraId="1909061F" w14:textId="77777777" w:rsidTr="00BC243F">
        <w:trPr>
          <w:trHeight w:val="20"/>
        </w:trPr>
        <w:tc>
          <w:tcPr>
            <w:tcW w:w="1539" w:type="pct"/>
            <w:vAlign w:val="center"/>
          </w:tcPr>
          <w:p w14:paraId="0D19D3DD" w14:textId="1067D6FF" w:rsidR="00C41CF6" w:rsidRPr="00855328" w:rsidRDefault="00C41CF6" w:rsidP="00855328">
            <w:r>
              <w:t>Set-Asides</w:t>
            </w:r>
          </w:p>
        </w:tc>
        <w:tc>
          <w:tcPr>
            <w:tcW w:w="1298" w:type="pct"/>
            <w:vAlign w:val="center"/>
          </w:tcPr>
          <w:p w14:paraId="32E18127" w14:textId="516A9B7C" w:rsidR="00C41CF6" w:rsidRPr="00855328" w:rsidRDefault="004A0A41" w:rsidP="004B7F03">
            <w:r w:rsidRPr="007B357C">
              <w:rPr>
                <w:color w:val="ED0000"/>
              </w:rPr>
              <w:t>(</w:t>
            </w:r>
            <w:r w:rsidR="00C41CF6" w:rsidRPr="007B357C">
              <w:rPr>
                <w:color w:val="ED0000"/>
              </w:rPr>
              <w:t>$</w:t>
            </w:r>
            <w:r w:rsidR="00BC243F" w:rsidRPr="007B357C">
              <w:rPr>
                <w:color w:val="ED0000"/>
              </w:rPr>
              <w:t>305,600</w:t>
            </w:r>
            <w:r w:rsidRPr="007B357C">
              <w:rPr>
                <w:color w:val="ED0000"/>
              </w:rPr>
              <w:t>)</w:t>
            </w:r>
          </w:p>
        </w:tc>
        <w:tc>
          <w:tcPr>
            <w:tcW w:w="1298" w:type="pct"/>
            <w:vAlign w:val="center"/>
          </w:tcPr>
          <w:p w14:paraId="10249408" w14:textId="248D9A7B" w:rsidR="00C41CF6" w:rsidRDefault="00C41CF6" w:rsidP="00145BA1">
            <w:r w:rsidRPr="007B357C">
              <w:rPr>
                <w:color w:val="ED0000"/>
              </w:rPr>
              <w:t>($</w:t>
            </w:r>
            <w:r w:rsidR="00145BA1" w:rsidRPr="007B357C">
              <w:rPr>
                <w:color w:val="ED0000"/>
              </w:rPr>
              <w:t>305,600</w:t>
            </w:r>
            <w:r w:rsidRPr="007B357C">
              <w:rPr>
                <w:color w:val="ED0000"/>
              </w:rPr>
              <w:t>)</w:t>
            </w:r>
          </w:p>
        </w:tc>
        <w:tc>
          <w:tcPr>
            <w:tcW w:w="865" w:type="pct"/>
            <w:vAlign w:val="center"/>
          </w:tcPr>
          <w:p w14:paraId="664FA8BB" w14:textId="77777777" w:rsidR="00C41CF6" w:rsidRPr="00855328" w:rsidRDefault="00C41CF6" w:rsidP="00855328"/>
        </w:tc>
      </w:tr>
      <w:tr w:rsidR="00BC243F" w:rsidRPr="00855328" w14:paraId="29D4654F" w14:textId="77777777" w:rsidTr="00BC243F">
        <w:trPr>
          <w:trHeight w:val="20"/>
        </w:trPr>
        <w:tc>
          <w:tcPr>
            <w:tcW w:w="1539" w:type="pct"/>
            <w:vAlign w:val="center"/>
          </w:tcPr>
          <w:p w14:paraId="1C021489" w14:textId="77777777" w:rsidR="00BC243F" w:rsidRPr="00855328" w:rsidRDefault="00BC243F" w:rsidP="00BC243F">
            <w:pPr>
              <w:rPr>
                <w:b/>
              </w:rPr>
            </w:pPr>
            <w:r w:rsidRPr="00855328">
              <w:rPr>
                <w:b/>
              </w:rPr>
              <w:t>Total to Loan Fund</w:t>
            </w:r>
          </w:p>
        </w:tc>
        <w:tc>
          <w:tcPr>
            <w:tcW w:w="1298" w:type="pct"/>
            <w:vAlign w:val="center"/>
          </w:tcPr>
          <w:p w14:paraId="16DA8145" w14:textId="78F4CFE5" w:rsidR="00BC243F" w:rsidRPr="00FF61A8" w:rsidRDefault="00BC243F" w:rsidP="00BC243F">
            <w:pPr>
              <w:rPr>
                <w:b/>
                <w:bCs/>
              </w:rPr>
            </w:pPr>
            <w:r w:rsidRPr="00BC243F">
              <w:rPr>
                <w:b/>
                <w:bCs/>
              </w:rPr>
              <w:t>$30,169,400</w:t>
            </w:r>
          </w:p>
        </w:tc>
        <w:tc>
          <w:tcPr>
            <w:tcW w:w="1298" w:type="pct"/>
          </w:tcPr>
          <w:p w14:paraId="579E0211" w14:textId="0C2C0D86" w:rsidR="00BC243F" w:rsidRPr="00BC243F" w:rsidRDefault="00BC243F" w:rsidP="00BC243F">
            <w:pPr>
              <w:rPr>
                <w:b/>
                <w:bCs/>
              </w:rPr>
            </w:pPr>
            <w:r w:rsidRPr="00BC243F">
              <w:rPr>
                <w:b/>
                <w:bCs/>
              </w:rPr>
              <w:t xml:space="preserve">$7,334,400 </w:t>
            </w:r>
          </w:p>
        </w:tc>
        <w:tc>
          <w:tcPr>
            <w:tcW w:w="865" w:type="pct"/>
          </w:tcPr>
          <w:p w14:paraId="63C22362" w14:textId="1B872572" w:rsidR="00BC243F" w:rsidRPr="00BC243F" w:rsidRDefault="00BC243F" w:rsidP="00BC243F">
            <w:pPr>
              <w:rPr>
                <w:b/>
                <w:bCs/>
              </w:rPr>
            </w:pPr>
            <w:r w:rsidRPr="00BC243F">
              <w:rPr>
                <w:b/>
                <w:bCs/>
              </w:rPr>
              <w:t xml:space="preserve">$37,503,800 </w:t>
            </w:r>
          </w:p>
        </w:tc>
      </w:tr>
      <w:tr w:rsidR="00855328" w:rsidRPr="00855328" w14:paraId="19B114CE" w14:textId="77777777" w:rsidTr="794B56E0">
        <w:trPr>
          <w:trHeight w:val="20"/>
        </w:trPr>
        <w:tc>
          <w:tcPr>
            <w:tcW w:w="0" w:type="auto"/>
            <w:gridSpan w:val="4"/>
            <w:shd w:val="clear" w:color="auto" w:fill="F2F2F2" w:themeFill="background1" w:themeFillShade="F2"/>
            <w:vAlign w:val="center"/>
          </w:tcPr>
          <w:p w14:paraId="543F4118" w14:textId="6B8FCA03" w:rsidR="00855328" w:rsidRPr="00855328" w:rsidRDefault="00C41CF6" w:rsidP="00855328">
            <w:pPr>
              <w:rPr>
                <w:i/>
              </w:rPr>
            </w:pPr>
            <w:r>
              <w:rPr>
                <w:i/>
              </w:rPr>
              <w:t>Other Funding Sources</w:t>
            </w:r>
          </w:p>
        </w:tc>
      </w:tr>
      <w:tr w:rsidR="008D5760" w:rsidRPr="00855328" w14:paraId="08FCFD9B" w14:textId="77777777" w:rsidTr="00BC243F">
        <w:trPr>
          <w:trHeight w:val="20"/>
        </w:trPr>
        <w:tc>
          <w:tcPr>
            <w:tcW w:w="1539" w:type="pct"/>
            <w:tcBorders>
              <w:bottom w:val="double" w:sz="4" w:space="0" w:color="auto"/>
            </w:tcBorders>
            <w:vAlign w:val="center"/>
          </w:tcPr>
          <w:p w14:paraId="2C5BC8BD" w14:textId="77777777" w:rsidR="007B44C1" w:rsidRPr="00855328" w:rsidRDefault="007B44C1" w:rsidP="007B44C1">
            <w:bookmarkStart w:id="105" w:name="_Hlk134711921"/>
            <w:r w:rsidRPr="00855328">
              <w:t>Transfers from WPCSRF</w:t>
            </w:r>
          </w:p>
        </w:tc>
        <w:tc>
          <w:tcPr>
            <w:tcW w:w="1298" w:type="pct"/>
            <w:tcBorders>
              <w:bottom w:val="double" w:sz="4" w:space="0" w:color="auto"/>
            </w:tcBorders>
            <w:vAlign w:val="center"/>
          </w:tcPr>
          <w:p w14:paraId="5830C703" w14:textId="3744A1C1" w:rsidR="007B44C1" w:rsidRPr="00855328" w:rsidRDefault="007B44C1" w:rsidP="007B44C1">
            <w:r>
              <w:t>$</w:t>
            </w:r>
            <w:r w:rsidR="004A0A41">
              <w:t>459,000</w:t>
            </w:r>
          </w:p>
        </w:tc>
        <w:tc>
          <w:tcPr>
            <w:tcW w:w="1298" w:type="pct"/>
            <w:tcBorders>
              <w:bottom w:val="double" w:sz="4" w:space="0" w:color="auto"/>
            </w:tcBorders>
            <w:vAlign w:val="center"/>
          </w:tcPr>
          <w:p w14:paraId="624F9B73" w14:textId="4B62BC6D" w:rsidR="007B44C1" w:rsidRPr="00855328" w:rsidRDefault="007B44C1" w:rsidP="007B44C1">
            <w:r w:rsidRPr="00855328">
              <w:t>$</w:t>
            </w:r>
            <w:r w:rsidR="004A0A41">
              <w:t>0</w:t>
            </w:r>
          </w:p>
        </w:tc>
        <w:tc>
          <w:tcPr>
            <w:tcW w:w="865" w:type="pct"/>
            <w:tcBorders>
              <w:bottom w:val="double" w:sz="4" w:space="0" w:color="auto"/>
            </w:tcBorders>
            <w:vAlign w:val="center"/>
          </w:tcPr>
          <w:p w14:paraId="230B710E" w14:textId="47A4B234" w:rsidR="007B44C1" w:rsidRPr="00855328" w:rsidRDefault="007B44C1" w:rsidP="007B44C1">
            <w:r w:rsidRPr="00855328">
              <w:t>$</w:t>
            </w:r>
            <w:r>
              <w:t>459,000</w:t>
            </w:r>
          </w:p>
        </w:tc>
      </w:tr>
      <w:tr w:rsidR="00BC243F" w:rsidRPr="00855328" w14:paraId="5128AD18" w14:textId="77777777" w:rsidTr="00BC243F">
        <w:trPr>
          <w:trHeight w:val="20"/>
        </w:trPr>
        <w:tc>
          <w:tcPr>
            <w:tcW w:w="1539" w:type="pct"/>
            <w:tcBorders>
              <w:top w:val="double" w:sz="4" w:space="0" w:color="auto"/>
            </w:tcBorders>
            <w:vAlign w:val="center"/>
          </w:tcPr>
          <w:p w14:paraId="28C1F797" w14:textId="77777777" w:rsidR="00BC243F" w:rsidRPr="00855328" w:rsidRDefault="00BC243F" w:rsidP="00BC243F">
            <w:r w:rsidRPr="00855328">
              <w:rPr>
                <w:b/>
              </w:rPr>
              <w:t>Total Source of Funds</w:t>
            </w:r>
          </w:p>
        </w:tc>
        <w:tc>
          <w:tcPr>
            <w:tcW w:w="1298" w:type="pct"/>
            <w:tcBorders>
              <w:top w:val="double" w:sz="4" w:space="0" w:color="auto"/>
            </w:tcBorders>
          </w:tcPr>
          <w:p w14:paraId="3444304D" w14:textId="743EE070" w:rsidR="00BC243F" w:rsidRPr="00BC243F" w:rsidRDefault="00BC243F" w:rsidP="00BC243F">
            <w:pPr>
              <w:rPr>
                <w:b/>
                <w:bCs/>
                <w:u w:val="single"/>
              </w:rPr>
            </w:pPr>
            <w:r w:rsidRPr="00BC243F">
              <w:rPr>
                <w:b/>
                <w:bCs/>
              </w:rPr>
              <w:t xml:space="preserve">$30,628,400 </w:t>
            </w:r>
          </w:p>
        </w:tc>
        <w:tc>
          <w:tcPr>
            <w:tcW w:w="1298" w:type="pct"/>
            <w:tcBorders>
              <w:top w:val="double" w:sz="4" w:space="0" w:color="auto"/>
            </w:tcBorders>
          </w:tcPr>
          <w:p w14:paraId="6C99DCC7" w14:textId="32575A07" w:rsidR="00BC243F" w:rsidRPr="00BC243F" w:rsidRDefault="00BC243F" w:rsidP="00BC243F">
            <w:pPr>
              <w:rPr>
                <w:b/>
                <w:bCs/>
                <w:u w:val="single"/>
              </w:rPr>
            </w:pPr>
            <w:r w:rsidRPr="00BC243F">
              <w:rPr>
                <w:b/>
                <w:bCs/>
              </w:rPr>
              <w:t xml:space="preserve">$7,334,400 </w:t>
            </w:r>
          </w:p>
        </w:tc>
        <w:tc>
          <w:tcPr>
            <w:tcW w:w="865" w:type="pct"/>
            <w:tcBorders>
              <w:top w:val="double" w:sz="4" w:space="0" w:color="auto"/>
            </w:tcBorders>
          </w:tcPr>
          <w:p w14:paraId="65B7A458" w14:textId="253A887B" w:rsidR="00BC243F" w:rsidRPr="00BC243F" w:rsidRDefault="00BC243F" w:rsidP="00BC243F">
            <w:pPr>
              <w:rPr>
                <w:b/>
                <w:bCs/>
                <w:u w:val="single"/>
              </w:rPr>
            </w:pPr>
            <w:r w:rsidRPr="00BC243F">
              <w:rPr>
                <w:b/>
                <w:bCs/>
              </w:rPr>
              <w:t xml:space="preserve">$37,962,800 </w:t>
            </w:r>
          </w:p>
        </w:tc>
      </w:tr>
      <w:bookmarkEnd w:id="105"/>
      <w:tr w:rsidR="00855328" w:rsidRPr="00855328" w14:paraId="33C7A919" w14:textId="77777777" w:rsidTr="794B56E0">
        <w:trPr>
          <w:trHeight w:val="20"/>
        </w:trPr>
        <w:tc>
          <w:tcPr>
            <w:tcW w:w="0" w:type="auto"/>
            <w:gridSpan w:val="4"/>
            <w:shd w:val="clear" w:color="auto" w:fill="D9D9D9" w:themeFill="background1" w:themeFillShade="D9"/>
            <w:vAlign w:val="center"/>
          </w:tcPr>
          <w:p w14:paraId="2085457E" w14:textId="77777777" w:rsidR="00855328" w:rsidRPr="00855328" w:rsidRDefault="00855328" w:rsidP="00855328">
            <w:pPr>
              <w:rPr>
                <w:b/>
              </w:rPr>
            </w:pPr>
            <w:r w:rsidRPr="00855328">
              <w:rPr>
                <w:b/>
              </w:rPr>
              <w:t>USE OF FUNDS</w:t>
            </w:r>
          </w:p>
        </w:tc>
      </w:tr>
      <w:tr w:rsidR="00855328" w:rsidRPr="00855328" w14:paraId="0B870CF9" w14:textId="77777777" w:rsidTr="794B56E0">
        <w:trPr>
          <w:trHeight w:val="20"/>
        </w:trPr>
        <w:tc>
          <w:tcPr>
            <w:tcW w:w="0" w:type="auto"/>
            <w:gridSpan w:val="4"/>
            <w:shd w:val="clear" w:color="auto" w:fill="F2F2F2" w:themeFill="background1" w:themeFillShade="F2"/>
            <w:vAlign w:val="center"/>
          </w:tcPr>
          <w:p w14:paraId="0DAEF203" w14:textId="77777777" w:rsidR="00855328" w:rsidRPr="00855328" w:rsidRDefault="00855328" w:rsidP="00855328">
            <w:pPr>
              <w:rPr>
                <w:i/>
              </w:rPr>
            </w:pPr>
            <w:r w:rsidRPr="00855328">
              <w:rPr>
                <w:i/>
              </w:rPr>
              <w:t>Loans Executed</w:t>
            </w:r>
          </w:p>
        </w:tc>
      </w:tr>
      <w:tr w:rsidR="008D5760" w:rsidRPr="00855328" w14:paraId="39F23BBC" w14:textId="77777777" w:rsidTr="00BC243F">
        <w:trPr>
          <w:trHeight w:val="20"/>
        </w:trPr>
        <w:tc>
          <w:tcPr>
            <w:tcW w:w="1539" w:type="pct"/>
            <w:vAlign w:val="center"/>
          </w:tcPr>
          <w:p w14:paraId="5709628E" w14:textId="77777777" w:rsidR="00855328" w:rsidRPr="00855328" w:rsidRDefault="00855328" w:rsidP="00855328">
            <w:r w:rsidRPr="00855328">
              <w:t>Direct Loans</w:t>
            </w:r>
          </w:p>
        </w:tc>
        <w:tc>
          <w:tcPr>
            <w:tcW w:w="1298" w:type="pct"/>
            <w:vAlign w:val="center"/>
          </w:tcPr>
          <w:p w14:paraId="1E16C0F9" w14:textId="104F1062" w:rsidR="00855328" w:rsidRPr="00855328" w:rsidRDefault="00213D16" w:rsidP="001774C6">
            <w:r>
              <w:t>$</w:t>
            </w:r>
            <w:r w:rsidR="00BC243F">
              <w:t>5,332,400</w:t>
            </w:r>
          </w:p>
        </w:tc>
        <w:tc>
          <w:tcPr>
            <w:tcW w:w="1298" w:type="pct"/>
            <w:vAlign w:val="center"/>
          </w:tcPr>
          <w:p w14:paraId="69F5CCB2" w14:textId="77777777" w:rsidR="00855328" w:rsidRPr="00855328" w:rsidRDefault="00855328" w:rsidP="00855328"/>
        </w:tc>
        <w:tc>
          <w:tcPr>
            <w:tcW w:w="865" w:type="pct"/>
            <w:vAlign w:val="center"/>
          </w:tcPr>
          <w:p w14:paraId="15BACA5E" w14:textId="4AE6236C" w:rsidR="00855328" w:rsidRPr="00855328" w:rsidRDefault="00BC243F" w:rsidP="001774C6">
            <w:r>
              <w:t>$5,332,400</w:t>
            </w:r>
          </w:p>
        </w:tc>
      </w:tr>
      <w:tr w:rsidR="008D5760" w:rsidRPr="00855328" w14:paraId="6F3A0903" w14:textId="77777777" w:rsidTr="00BC243F">
        <w:trPr>
          <w:trHeight w:val="20"/>
        </w:trPr>
        <w:tc>
          <w:tcPr>
            <w:tcW w:w="1539" w:type="pct"/>
            <w:vAlign w:val="center"/>
          </w:tcPr>
          <w:p w14:paraId="1CEA6EFF" w14:textId="77777777" w:rsidR="00855328" w:rsidRPr="00855328" w:rsidRDefault="00855328" w:rsidP="00855328">
            <w:r w:rsidRPr="00855328">
              <w:t>Transfer to WPCSRF</w:t>
            </w:r>
          </w:p>
        </w:tc>
        <w:tc>
          <w:tcPr>
            <w:tcW w:w="1298" w:type="pct"/>
            <w:vAlign w:val="center"/>
          </w:tcPr>
          <w:p w14:paraId="68B0DBFD" w14:textId="5EE04FC7" w:rsidR="00855328" w:rsidRPr="00855328" w:rsidRDefault="00213D16" w:rsidP="00855328">
            <w:r>
              <w:t>$0</w:t>
            </w:r>
          </w:p>
        </w:tc>
        <w:tc>
          <w:tcPr>
            <w:tcW w:w="1298" w:type="pct"/>
            <w:vAlign w:val="center"/>
          </w:tcPr>
          <w:p w14:paraId="63F47151" w14:textId="4F9B5791" w:rsidR="00855328" w:rsidRPr="00855328" w:rsidRDefault="00855328" w:rsidP="007535E5">
            <w:r>
              <w:t>$</w:t>
            </w:r>
            <w:r w:rsidR="00221C81">
              <w:t>0</w:t>
            </w:r>
          </w:p>
        </w:tc>
        <w:tc>
          <w:tcPr>
            <w:tcW w:w="865" w:type="pct"/>
            <w:vAlign w:val="center"/>
          </w:tcPr>
          <w:p w14:paraId="33AC2CA8" w14:textId="64A6D8B1" w:rsidR="00855328" w:rsidRPr="00855328" w:rsidRDefault="007B44C1" w:rsidP="00A154A0">
            <w:r>
              <w:t>$0</w:t>
            </w:r>
          </w:p>
        </w:tc>
      </w:tr>
      <w:tr w:rsidR="001774C6" w:rsidRPr="00855328" w14:paraId="34CC3295" w14:textId="77777777" w:rsidTr="00BC243F">
        <w:trPr>
          <w:trHeight w:val="20"/>
        </w:trPr>
        <w:tc>
          <w:tcPr>
            <w:tcW w:w="4135" w:type="pct"/>
            <w:gridSpan w:val="3"/>
            <w:vAlign w:val="center"/>
          </w:tcPr>
          <w:p w14:paraId="2078AC15" w14:textId="77777777" w:rsidR="00855328" w:rsidRPr="00855328" w:rsidRDefault="00855328" w:rsidP="00855328">
            <w:r w:rsidRPr="00855328">
              <w:rPr>
                <w:b/>
              </w:rPr>
              <w:t>Total Uses</w:t>
            </w:r>
          </w:p>
        </w:tc>
        <w:tc>
          <w:tcPr>
            <w:tcW w:w="865" w:type="pct"/>
            <w:vAlign w:val="center"/>
          </w:tcPr>
          <w:p w14:paraId="506E5BFF" w14:textId="17DF060D" w:rsidR="00855328" w:rsidRPr="00855328" w:rsidRDefault="00BC243F" w:rsidP="002F6891">
            <w:pPr>
              <w:rPr>
                <w:u w:val="single"/>
              </w:rPr>
            </w:pPr>
            <w:r>
              <w:t>$5,332,400</w:t>
            </w:r>
          </w:p>
        </w:tc>
      </w:tr>
      <w:tr w:rsidR="001774C6" w:rsidRPr="00855328" w14:paraId="49530CB0" w14:textId="77777777" w:rsidTr="00BC243F">
        <w:trPr>
          <w:trHeight w:val="20"/>
        </w:trPr>
        <w:tc>
          <w:tcPr>
            <w:tcW w:w="4135" w:type="pct"/>
            <w:gridSpan w:val="3"/>
            <w:vAlign w:val="center"/>
          </w:tcPr>
          <w:p w14:paraId="18BD5C04" w14:textId="77777777" w:rsidR="00855328" w:rsidRPr="00855328" w:rsidRDefault="00855328" w:rsidP="00855328">
            <w:pPr>
              <w:rPr>
                <w:b/>
              </w:rPr>
            </w:pPr>
            <w:r w:rsidRPr="00855328">
              <w:rPr>
                <w:b/>
              </w:rPr>
              <w:t>Funds Available for Loan</w:t>
            </w:r>
          </w:p>
        </w:tc>
        <w:tc>
          <w:tcPr>
            <w:tcW w:w="865" w:type="pct"/>
            <w:vAlign w:val="center"/>
          </w:tcPr>
          <w:p w14:paraId="337FCFC8" w14:textId="4C2128A2" w:rsidR="00855328" w:rsidRPr="00855328" w:rsidRDefault="17EFE58A" w:rsidP="22A68D06">
            <w:pPr>
              <w:rPr>
                <w:b/>
                <w:bCs/>
                <w:u w:val="single"/>
              </w:rPr>
            </w:pPr>
            <w:r w:rsidRPr="794B56E0">
              <w:rPr>
                <w:b/>
                <w:bCs/>
                <w:u w:val="single"/>
              </w:rPr>
              <w:t>$</w:t>
            </w:r>
            <w:r w:rsidR="00BC243F">
              <w:rPr>
                <w:b/>
                <w:bCs/>
                <w:u w:val="single"/>
              </w:rPr>
              <w:t>32,630,400</w:t>
            </w:r>
          </w:p>
        </w:tc>
      </w:tr>
      <w:tr w:rsidR="00855328" w:rsidRPr="00855328" w14:paraId="223B5618" w14:textId="77777777" w:rsidTr="794B56E0">
        <w:trPr>
          <w:trHeight w:val="20"/>
        </w:trPr>
        <w:tc>
          <w:tcPr>
            <w:tcW w:w="0" w:type="auto"/>
            <w:gridSpan w:val="4"/>
            <w:shd w:val="clear" w:color="auto" w:fill="F2F2F2" w:themeFill="background1" w:themeFillShade="F2"/>
            <w:vAlign w:val="center"/>
          </w:tcPr>
          <w:p w14:paraId="121A9E65" w14:textId="77777777" w:rsidR="00855328" w:rsidRPr="00855328" w:rsidRDefault="00855328" w:rsidP="00855328">
            <w:pPr>
              <w:rPr>
                <w:i/>
              </w:rPr>
            </w:pPr>
            <w:r w:rsidRPr="00855328">
              <w:rPr>
                <w:i/>
              </w:rPr>
              <w:t>Projected IUP Loans</w:t>
            </w:r>
          </w:p>
        </w:tc>
      </w:tr>
      <w:tr w:rsidR="00BC243F" w:rsidRPr="00855328" w14:paraId="0028D07B" w14:textId="77777777" w:rsidTr="00BC243F">
        <w:trPr>
          <w:trHeight w:val="20"/>
        </w:trPr>
        <w:tc>
          <w:tcPr>
            <w:tcW w:w="2837" w:type="pct"/>
            <w:gridSpan w:val="2"/>
            <w:vAlign w:val="center"/>
          </w:tcPr>
          <w:p w14:paraId="5962A28C" w14:textId="20E74DA0" w:rsidR="00BC243F" w:rsidRPr="00855328" w:rsidRDefault="00BC243F" w:rsidP="00BC243F">
            <w:r>
              <w:t>Direct Loans (SFY 2027)</w:t>
            </w:r>
          </w:p>
        </w:tc>
        <w:tc>
          <w:tcPr>
            <w:tcW w:w="1298" w:type="pct"/>
          </w:tcPr>
          <w:p w14:paraId="3802A7CE" w14:textId="3BFFF080" w:rsidR="00BC243F" w:rsidRPr="00855328" w:rsidRDefault="00BC243F" w:rsidP="00BC243F">
            <w:r w:rsidRPr="00152D85">
              <w:t xml:space="preserve">$19,619,082 </w:t>
            </w:r>
          </w:p>
        </w:tc>
        <w:tc>
          <w:tcPr>
            <w:tcW w:w="865" w:type="pct"/>
          </w:tcPr>
          <w:p w14:paraId="58EC6699" w14:textId="549D8F78" w:rsidR="00BC243F" w:rsidRPr="00855328" w:rsidRDefault="00BC243F" w:rsidP="00BC243F">
            <w:r w:rsidRPr="00152D85">
              <w:t xml:space="preserve">$19,619,082 </w:t>
            </w:r>
          </w:p>
        </w:tc>
      </w:tr>
      <w:tr w:rsidR="001774C6" w:rsidRPr="00855328" w14:paraId="5C0D27B6" w14:textId="77777777" w:rsidTr="00BC243F">
        <w:trPr>
          <w:trHeight w:val="20"/>
        </w:trPr>
        <w:tc>
          <w:tcPr>
            <w:tcW w:w="4135" w:type="pct"/>
            <w:gridSpan w:val="3"/>
            <w:vAlign w:val="center"/>
          </w:tcPr>
          <w:p w14:paraId="38D2AA71" w14:textId="77777777" w:rsidR="00855328" w:rsidRPr="00855328" w:rsidRDefault="00855328" w:rsidP="00855328">
            <w:pPr>
              <w:rPr>
                <w:u w:val="double"/>
              </w:rPr>
            </w:pPr>
            <w:r w:rsidRPr="00855328">
              <w:rPr>
                <w:b/>
                <w:u w:val="single"/>
              </w:rPr>
              <w:t>Projected Balance Remaining</w:t>
            </w:r>
          </w:p>
        </w:tc>
        <w:tc>
          <w:tcPr>
            <w:tcW w:w="865" w:type="pct"/>
            <w:vAlign w:val="center"/>
          </w:tcPr>
          <w:p w14:paraId="04E18DE4" w14:textId="4CA617FE" w:rsidR="00855328" w:rsidRPr="00BC243F" w:rsidRDefault="00BC243F" w:rsidP="00C26D27">
            <w:pPr>
              <w:rPr>
                <w:b/>
                <w:bCs/>
              </w:rPr>
            </w:pPr>
            <w:r w:rsidRPr="00BC243F">
              <w:rPr>
                <w:b/>
                <w:bCs/>
              </w:rPr>
              <w:t>$13,011,318</w:t>
            </w:r>
          </w:p>
        </w:tc>
      </w:tr>
      <w:bookmarkEnd w:id="97"/>
    </w:tbl>
    <w:p w14:paraId="7FB960AF" w14:textId="086F30BF" w:rsidR="00855328" w:rsidRPr="00882A45" w:rsidRDefault="00855328" w:rsidP="00855328">
      <w:pPr>
        <w:rPr>
          <w:sz w:val="24"/>
          <w:szCs w:val="24"/>
        </w:rPr>
      </w:pPr>
    </w:p>
    <w:p w14:paraId="44646A89" w14:textId="4C859C64" w:rsidR="0049781B" w:rsidRDefault="009123F8" w:rsidP="00126FE1">
      <w:pPr>
        <w:pStyle w:val="Heading1"/>
      </w:pPr>
      <w:bookmarkStart w:id="106" w:name="_Toc230351781"/>
      <w:r>
        <w:t>Transfer of Funds between the WPCSRF and the</w:t>
      </w:r>
      <w:r w:rsidRPr="00034E78">
        <w:t xml:space="preserve"> </w:t>
      </w:r>
      <w:r>
        <w:t>DWSRF</w:t>
      </w:r>
      <w:bookmarkEnd w:id="106"/>
    </w:p>
    <w:bookmarkEnd w:id="98"/>
    <w:bookmarkEnd w:id="99"/>
    <w:p w14:paraId="38921253" w14:textId="77777777" w:rsidR="00B531EC" w:rsidRDefault="00410B53" w:rsidP="00103C66">
      <w:pPr>
        <w:rPr>
          <w:snapToGrid w:val="0"/>
        </w:rPr>
      </w:pPr>
      <w:r>
        <w:rPr>
          <w:snapToGrid w:val="0"/>
        </w:rPr>
        <w:t xml:space="preserve">At </w:t>
      </w:r>
      <w:r w:rsidRPr="00321907">
        <w:t>the</w:t>
      </w:r>
      <w:r>
        <w:rPr>
          <w:snapToGrid w:val="0"/>
        </w:rPr>
        <w:t xml:space="preserve"> Governor’s discretion, a state may transfer up to 33</w:t>
      </w:r>
      <w:r w:rsidR="003C3977">
        <w:rPr>
          <w:snapToGrid w:val="0"/>
        </w:rPr>
        <w:t>%</w:t>
      </w:r>
      <w:r>
        <w:rPr>
          <w:snapToGrid w:val="0"/>
        </w:rPr>
        <w:t xml:space="preserve"> of its </w:t>
      </w:r>
      <w:r w:rsidR="00977CBE">
        <w:rPr>
          <w:snapToGrid w:val="0"/>
        </w:rPr>
        <w:t>DW</w:t>
      </w:r>
      <w:r>
        <w:rPr>
          <w:snapToGrid w:val="0"/>
        </w:rPr>
        <w:t xml:space="preserve">SRF capitalization grant to the </w:t>
      </w:r>
      <w:r w:rsidR="00DF35E9" w:rsidRPr="00C75E1D">
        <w:t>Water Pollution Control State Revolving Fund</w:t>
      </w:r>
      <w:r w:rsidR="00DF35E9">
        <w:rPr>
          <w:snapToGrid w:val="0"/>
        </w:rPr>
        <w:t xml:space="preserve"> (</w:t>
      </w:r>
      <w:r w:rsidR="001F52B7">
        <w:rPr>
          <w:snapToGrid w:val="0"/>
        </w:rPr>
        <w:t>WPC</w:t>
      </w:r>
      <w:r>
        <w:rPr>
          <w:snapToGrid w:val="0"/>
        </w:rPr>
        <w:t>SRF</w:t>
      </w:r>
      <w:r w:rsidR="00DF35E9">
        <w:rPr>
          <w:snapToGrid w:val="0"/>
        </w:rPr>
        <w:t>)</w:t>
      </w:r>
      <w:r>
        <w:rPr>
          <w:snapToGrid w:val="0"/>
        </w:rPr>
        <w:t xml:space="preserve"> or an equal amount from the </w:t>
      </w:r>
      <w:r w:rsidR="001F52B7">
        <w:rPr>
          <w:snapToGrid w:val="0"/>
        </w:rPr>
        <w:t>WPC</w:t>
      </w:r>
      <w:r>
        <w:rPr>
          <w:snapToGrid w:val="0"/>
        </w:rPr>
        <w:t xml:space="preserve">SRF to the </w:t>
      </w:r>
      <w:r w:rsidR="00977CBE">
        <w:rPr>
          <w:snapToGrid w:val="0"/>
        </w:rPr>
        <w:t>DW</w:t>
      </w:r>
      <w:r>
        <w:rPr>
          <w:snapToGrid w:val="0"/>
        </w:rPr>
        <w:t>SRF.</w:t>
      </w:r>
      <w:r w:rsidR="00B41BF0">
        <w:rPr>
          <w:snapToGrid w:val="0"/>
        </w:rPr>
        <w:t xml:space="preserve"> </w:t>
      </w:r>
      <w:r>
        <w:rPr>
          <w:snapToGrid w:val="0"/>
        </w:rPr>
        <w:t xml:space="preserve">Transfers could not occur until at least </w:t>
      </w:r>
      <w:r w:rsidR="00CD6565">
        <w:rPr>
          <w:snapToGrid w:val="0"/>
        </w:rPr>
        <w:t>1</w:t>
      </w:r>
      <w:r>
        <w:rPr>
          <w:snapToGrid w:val="0"/>
        </w:rPr>
        <w:t xml:space="preserve"> year after receipt of the first capitalization grant, which was June 30, 1999. This transfer authority was effective thr</w:t>
      </w:r>
      <w:r w:rsidR="00D101F0">
        <w:rPr>
          <w:snapToGrid w:val="0"/>
        </w:rPr>
        <w:t>ough</w:t>
      </w:r>
      <w:r>
        <w:rPr>
          <w:snapToGrid w:val="0"/>
        </w:rPr>
        <w:t xml:space="preserve"> </w:t>
      </w:r>
      <w:r w:rsidR="006A39EE">
        <w:rPr>
          <w:snapToGrid w:val="0"/>
        </w:rPr>
        <w:t>FFY</w:t>
      </w:r>
      <w:r>
        <w:rPr>
          <w:snapToGrid w:val="0"/>
        </w:rPr>
        <w:t xml:space="preserve"> 2001.</w:t>
      </w:r>
      <w:r w:rsidR="00B41BF0">
        <w:rPr>
          <w:snapToGrid w:val="0"/>
        </w:rPr>
        <w:t xml:space="preserve"> </w:t>
      </w:r>
      <w:r>
        <w:rPr>
          <w:snapToGrid w:val="0"/>
        </w:rPr>
        <w:t>One-year extensions of this transfer authority were granted through V</w:t>
      </w:r>
      <w:r w:rsidR="006A39EE">
        <w:rPr>
          <w:snapToGrid w:val="0"/>
        </w:rPr>
        <w:t>eterans Affairs</w:t>
      </w:r>
      <w:r>
        <w:rPr>
          <w:snapToGrid w:val="0"/>
        </w:rPr>
        <w:t>, H</w:t>
      </w:r>
      <w:r w:rsidR="006A39EE">
        <w:rPr>
          <w:snapToGrid w:val="0"/>
        </w:rPr>
        <w:t xml:space="preserve">ousing and </w:t>
      </w:r>
      <w:r>
        <w:rPr>
          <w:snapToGrid w:val="0"/>
        </w:rPr>
        <w:t>U</w:t>
      </w:r>
      <w:r w:rsidR="006A39EE">
        <w:rPr>
          <w:snapToGrid w:val="0"/>
        </w:rPr>
        <w:t xml:space="preserve">rban </w:t>
      </w:r>
      <w:r>
        <w:rPr>
          <w:snapToGrid w:val="0"/>
        </w:rPr>
        <w:t>D</w:t>
      </w:r>
      <w:r w:rsidR="006A39EE">
        <w:rPr>
          <w:snapToGrid w:val="0"/>
        </w:rPr>
        <w:t>evelopment</w:t>
      </w:r>
      <w:r>
        <w:rPr>
          <w:snapToGrid w:val="0"/>
        </w:rPr>
        <w:t xml:space="preserve">, and Independent Agencies Appropriation </w:t>
      </w:r>
      <w:r w:rsidRPr="008C4F56">
        <w:rPr>
          <w:snapToGrid w:val="0"/>
        </w:rPr>
        <w:t xml:space="preserve">Bill until the </w:t>
      </w:r>
      <w:r w:rsidR="006A39EE">
        <w:rPr>
          <w:snapToGrid w:val="0"/>
        </w:rPr>
        <w:t>F</w:t>
      </w:r>
      <w:r w:rsidRPr="008C4F56">
        <w:rPr>
          <w:snapToGrid w:val="0"/>
        </w:rPr>
        <w:t>FY</w:t>
      </w:r>
      <w:r w:rsidR="006A39EE">
        <w:rPr>
          <w:snapToGrid w:val="0"/>
        </w:rPr>
        <w:t xml:space="preserve"> 20</w:t>
      </w:r>
      <w:r w:rsidRPr="008C4F56">
        <w:rPr>
          <w:snapToGrid w:val="0"/>
        </w:rPr>
        <w:t>06 appropriation bill, when the transfer provision was authorized indefinitely.</w:t>
      </w:r>
      <w:r w:rsidR="002D15EC">
        <w:rPr>
          <w:snapToGrid w:val="0"/>
        </w:rPr>
        <w:t xml:space="preserve"> </w:t>
      </w:r>
    </w:p>
    <w:p w14:paraId="208062D8" w14:textId="77777777" w:rsidR="00B531EC" w:rsidRDefault="00B531EC" w:rsidP="00103C66">
      <w:pPr>
        <w:rPr>
          <w:snapToGrid w:val="0"/>
        </w:rPr>
      </w:pPr>
    </w:p>
    <w:p w14:paraId="7C477E50" w14:textId="79FB534A" w:rsidR="009123F8" w:rsidRDefault="002D15EC" w:rsidP="00103C66">
      <w:pPr>
        <w:rPr>
          <w:snapToGrid w:val="0"/>
        </w:rPr>
      </w:pPr>
      <w:r>
        <w:rPr>
          <w:snapToGrid w:val="0"/>
        </w:rPr>
        <w:t xml:space="preserve">For the </w:t>
      </w:r>
      <w:r w:rsidR="00B531EC">
        <w:rPr>
          <w:snapToGrid w:val="0"/>
        </w:rPr>
        <w:t>BIL EC grant funds</w:t>
      </w:r>
      <w:r>
        <w:rPr>
          <w:snapToGrid w:val="0"/>
        </w:rPr>
        <w:t xml:space="preserve">, </w:t>
      </w:r>
      <w:r w:rsidR="00B531EC">
        <w:rPr>
          <w:snapToGrid w:val="0"/>
        </w:rPr>
        <w:t>the 33% statutory ceiling is calculated based on a given year’s DWSRF EC grant allotment. In other words, the transfer amount between the two programs cannot exceed 33% of the current federal fiscal year’s DWSRF grant amount.</w:t>
      </w:r>
      <w:r>
        <w:rPr>
          <w:snapToGrid w:val="0"/>
        </w:rPr>
        <w:t xml:space="preserve"> </w:t>
      </w:r>
      <w:r w:rsidR="00410B53" w:rsidRPr="21449BD5">
        <w:rPr>
          <w:b/>
          <w:bCs/>
          <w:snapToGrid w:val="0"/>
        </w:rPr>
        <w:t xml:space="preserve">Table </w:t>
      </w:r>
      <w:r w:rsidR="003A7218">
        <w:rPr>
          <w:b/>
          <w:bCs/>
          <w:snapToGrid w:val="0"/>
        </w:rPr>
        <w:t>4</w:t>
      </w:r>
      <w:r w:rsidR="002B08EB">
        <w:rPr>
          <w:b/>
          <w:bCs/>
          <w:snapToGrid w:val="0"/>
        </w:rPr>
        <w:t xml:space="preserve"> </w:t>
      </w:r>
      <w:r w:rsidR="00410B53">
        <w:rPr>
          <w:snapToGrid w:val="0"/>
        </w:rPr>
        <w:t>summarize</w:t>
      </w:r>
      <w:r>
        <w:rPr>
          <w:snapToGrid w:val="0"/>
        </w:rPr>
        <w:t>s</w:t>
      </w:r>
      <w:r w:rsidR="00410B53">
        <w:rPr>
          <w:snapToGrid w:val="0"/>
        </w:rPr>
        <w:t xml:space="preserve"> transfers to date, and funds still available for transfer</w:t>
      </w:r>
      <w:r w:rsidR="002B08EB">
        <w:rPr>
          <w:snapToGrid w:val="0"/>
        </w:rPr>
        <w:t xml:space="preserve"> for the </w:t>
      </w:r>
      <w:r w:rsidR="00EC1775">
        <w:rPr>
          <w:snapToGrid w:val="0"/>
        </w:rPr>
        <w:t>EC</w:t>
      </w:r>
      <w:r w:rsidR="002B08EB">
        <w:rPr>
          <w:snapToGrid w:val="0"/>
        </w:rPr>
        <w:t xml:space="preserve"> grant</w:t>
      </w:r>
      <w:r w:rsidR="004D254A">
        <w:rPr>
          <w:snapToGrid w:val="0"/>
        </w:rPr>
        <w:t>.</w:t>
      </w:r>
    </w:p>
    <w:p w14:paraId="0232AE97" w14:textId="75C09442" w:rsidR="00213CEE" w:rsidRDefault="00213CEE">
      <w:pPr>
        <w:rPr>
          <w:b/>
          <w:bCs/>
          <w:color w:val="000000" w:themeColor="text1"/>
        </w:rPr>
      </w:pPr>
      <w:bookmarkStart w:id="107" w:name="_Toc105756735"/>
      <w:bookmarkStart w:id="108" w:name="_Toc136072112"/>
    </w:p>
    <w:p w14:paraId="3E539067" w14:textId="77777777" w:rsidR="00275B3D" w:rsidRDefault="00275B3D">
      <w:pPr>
        <w:rPr>
          <w:b/>
          <w:bCs/>
          <w:color w:val="000000" w:themeColor="text1"/>
        </w:rPr>
      </w:pPr>
      <w:r>
        <w:br w:type="page"/>
      </w:r>
    </w:p>
    <w:p w14:paraId="3F3DE1F2" w14:textId="49E3AC3E" w:rsidR="00E70A4D" w:rsidRDefault="003A7218" w:rsidP="003A7218">
      <w:pPr>
        <w:pStyle w:val="Caption"/>
      </w:pPr>
      <w:bookmarkStart w:id="109" w:name="_Toc230351717"/>
      <w:r>
        <w:lastRenderedPageBreak/>
        <w:t xml:space="preserve">Table </w:t>
      </w:r>
      <w:r>
        <w:fldChar w:fldCharType="begin"/>
      </w:r>
      <w:r>
        <w:instrText xml:space="preserve"> SEQ Table \* ARABIC </w:instrText>
      </w:r>
      <w:r>
        <w:fldChar w:fldCharType="separate"/>
      </w:r>
      <w:r>
        <w:rPr>
          <w:noProof/>
        </w:rPr>
        <w:t>4</w:t>
      </w:r>
      <w:r>
        <w:fldChar w:fldCharType="end"/>
      </w:r>
      <w:r w:rsidR="00E70A4D">
        <w:t xml:space="preserve">. </w:t>
      </w:r>
      <w:r w:rsidR="00E70A4D" w:rsidRPr="00DD78F0">
        <w:t>Amounts Available to Transfer between SRF Programs</w:t>
      </w:r>
      <w:r w:rsidR="00E70A4D" w:rsidRPr="00103C66">
        <w:t xml:space="preserve"> </w:t>
      </w:r>
      <w:r w:rsidR="00E70A4D">
        <w:t xml:space="preserve">for the </w:t>
      </w:r>
      <w:r w:rsidR="00EC1775">
        <w:t>EC</w:t>
      </w:r>
      <w:r w:rsidR="00E70A4D">
        <w:t xml:space="preserve"> Grant</w:t>
      </w:r>
      <w:bookmarkEnd w:id="107"/>
      <w:bookmarkEnd w:id="109"/>
    </w:p>
    <w:tbl>
      <w:tblPr>
        <w:tblStyle w:val="TableGrid"/>
        <w:tblW w:w="5000" w:type="pct"/>
        <w:tblLayout w:type="fixed"/>
        <w:tblLook w:val="0020" w:firstRow="1" w:lastRow="0" w:firstColumn="0" w:lastColumn="0" w:noHBand="0" w:noVBand="0"/>
      </w:tblPr>
      <w:tblGrid>
        <w:gridCol w:w="634"/>
        <w:gridCol w:w="2105"/>
        <w:gridCol w:w="1306"/>
        <w:gridCol w:w="1350"/>
        <w:gridCol w:w="1257"/>
        <w:gridCol w:w="1318"/>
        <w:gridCol w:w="1380"/>
      </w:tblGrid>
      <w:tr w:rsidR="00E70A4D" w:rsidRPr="00321907" w14:paraId="63CDCDD0" w14:textId="77777777" w:rsidTr="007B357C">
        <w:trPr>
          <w:trHeight w:val="20"/>
        </w:trPr>
        <w:tc>
          <w:tcPr>
            <w:tcW w:w="634" w:type="dxa"/>
            <w:vAlign w:val="center"/>
          </w:tcPr>
          <w:p w14:paraId="4F6D533E" w14:textId="10FA53CE" w:rsidR="00E70A4D" w:rsidRPr="00321907" w:rsidRDefault="008714F4" w:rsidP="005C0D79">
            <w:pPr>
              <w:jc w:val="center"/>
              <w:rPr>
                <w:b/>
                <w:sz w:val="20"/>
                <w:szCs w:val="20"/>
              </w:rPr>
            </w:pPr>
            <w:r>
              <w:rPr>
                <w:b/>
                <w:sz w:val="20"/>
                <w:szCs w:val="20"/>
              </w:rPr>
              <w:t>FFY</w:t>
            </w:r>
          </w:p>
        </w:tc>
        <w:tc>
          <w:tcPr>
            <w:tcW w:w="2105" w:type="dxa"/>
            <w:vAlign w:val="center"/>
          </w:tcPr>
          <w:p w14:paraId="301F57BA" w14:textId="77777777" w:rsidR="00E70A4D" w:rsidRPr="00321907" w:rsidRDefault="00E70A4D" w:rsidP="005C0D79">
            <w:pPr>
              <w:jc w:val="center"/>
              <w:rPr>
                <w:b/>
                <w:sz w:val="20"/>
                <w:szCs w:val="20"/>
              </w:rPr>
            </w:pPr>
            <w:r w:rsidRPr="00321907">
              <w:rPr>
                <w:b/>
                <w:sz w:val="20"/>
                <w:szCs w:val="20"/>
              </w:rPr>
              <w:t>Transaction Description</w:t>
            </w:r>
          </w:p>
        </w:tc>
        <w:tc>
          <w:tcPr>
            <w:tcW w:w="1306" w:type="dxa"/>
            <w:vAlign w:val="center"/>
          </w:tcPr>
          <w:p w14:paraId="3D754B1E" w14:textId="77777777" w:rsidR="00E70A4D" w:rsidRPr="00321907" w:rsidRDefault="00E70A4D" w:rsidP="005C0D79">
            <w:pPr>
              <w:jc w:val="center"/>
              <w:rPr>
                <w:b/>
                <w:sz w:val="20"/>
                <w:szCs w:val="20"/>
              </w:rPr>
            </w:pPr>
            <w:r w:rsidRPr="00321907">
              <w:rPr>
                <w:b/>
                <w:sz w:val="20"/>
                <w:szCs w:val="20"/>
              </w:rPr>
              <w:t>Banked Transfer Ceiling</w:t>
            </w:r>
          </w:p>
        </w:tc>
        <w:tc>
          <w:tcPr>
            <w:tcW w:w="1350" w:type="dxa"/>
            <w:vAlign w:val="center"/>
          </w:tcPr>
          <w:p w14:paraId="57CFA1DA" w14:textId="77777777" w:rsidR="00E70A4D" w:rsidRPr="00321907" w:rsidRDefault="00E70A4D" w:rsidP="005C0D79">
            <w:pPr>
              <w:jc w:val="center"/>
              <w:rPr>
                <w:b/>
                <w:sz w:val="20"/>
                <w:szCs w:val="20"/>
              </w:rPr>
            </w:pPr>
            <w:r w:rsidRPr="00321907">
              <w:rPr>
                <w:b/>
                <w:sz w:val="20"/>
                <w:szCs w:val="20"/>
              </w:rPr>
              <w:t>Transferred from W</w:t>
            </w:r>
            <w:r>
              <w:rPr>
                <w:b/>
                <w:sz w:val="20"/>
                <w:szCs w:val="20"/>
              </w:rPr>
              <w:t>PC</w:t>
            </w:r>
            <w:r w:rsidRPr="00321907">
              <w:rPr>
                <w:b/>
                <w:sz w:val="20"/>
                <w:szCs w:val="20"/>
              </w:rPr>
              <w:t>SRF to DWSRF</w:t>
            </w:r>
          </w:p>
        </w:tc>
        <w:tc>
          <w:tcPr>
            <w:tcW w:w="1257" w:type="dxa"/>
            <w:vAlign w:val="center"/>
          </w:tcPr>
          <w:p w14:paraId="53810DDF" w14:textId="77777777" w:rsidR="00E70A4D" w:rsidRPr="00321907" w:rsidRDefault="00E70A4D" w:rsidP="005C0D79">
            <w:pPr>
              <w:jc w:val="center"/>
              <w:rPr>
                <w:b/>
                <w:sz w:val="20"/>
                <w:szCs w:val="20"/>
              </w:rPr>
            </w:pPr>
            <w:r w:rsidRPr="00321907">
              <w:rPr>
                <w:b/>
                <w:sz w:val="20"/>
                <w:szCs w:val="20"/>
              </w:rPr>
              <w:t>Transferred from DWSRF to W</w:t>
            </w:r>
            <w:r>
              <w:rPr>
                <w:b/>
                <w:sz w:val="20"/>
                <w:szCs w:val="20"/>
              </w:rPr>
              <w:t>PC</w:t>
            </w:r>
            <w:r w:rsidRPr="00321907">
              <w:rPr>
                <w:b/>
                <w:sz w:val="20"/>
                <w:szCs w:val="20"/>
              </w:rPr>
              <w:t>SRF</w:t>
            </w:r>
          </w:p>
        </w:tc>
        <w:tc>
          <w:tcPr>
            <w:tcW w:w="1318" w:type="dxa"/>
            <w:vAlign w:val="center"/>
          </w:tcPr>
          <w:p w14:paraId="18FE1083" w14:textId="77777777" w:rsidR="00E70A4D" w:rsidRPr="00321907" w:rsidRDefault="00E70A4D" w:rsidP="005C0D79">
            <w:pPr>
              <w:jc w:val="center"/>
              <w:rPr>
                <w:b/>
                <w:sz w:val="20"/>
                <w:szCs w:val="20"/>
              </w:rPr>
            </w:pPr>
            <w:r w:rsidRPr="00321907">
              <w:rPr>
                <w:b/>
                <w:sz w:val="20"/>
                <w:szCs w:val="20"/>
              </w:rPr>
              <w:t>DWSRF Funds Available for Transfer</w:t>
            </w:r>
          </w:p>
        </w:tc>
        <w:tc>
          <w:tcPr>
            <w:tcW w:w="1380" w:type="dxa"/>
            <w:vAlign w:val="center"/>
          </w:tcPr>
          <w:p w14:paraId="65CC25AA" w14:textId="77777777" w:rsidR="00E70A4D" w:rsidRPr="00321907" w:rsidRDefault="00E70A4D" w:rsidP="005C0D79">
            <w:pPr>
              <w:jc w:val="center"/>
              <w:rPr>
                <w:b/>
                <w:sz w:val="20"/>
                <w:szCs w:val="20"/>
              </w:rPr>
            </w:pPr>
            <w:r w:rsidRPr="00321907">
              <w:rPr>
                <w:b/>
                <w:sz w:val="20"/>
                <w:szCs w:val="20"/>
              </w:rPr>
              <w:t>W</w:t>
            </w:r>
            <w:r>
              <w:rPr>
                <w:b/>
                <w:sz w:val="20"/>
                <w:szCs w:val="20"/>
              </w:rPr>
              <w:t>PC</w:t>
            </w:r>
            <w:r w:rsidRPr="00321907">
              <w:rPr>
                <w:b/>
                <w:sz w:val="20"/>
                <w:szCs w:val="20"/>
              </w:rPr>
              <w:t>SRF Funds Available for Transfer</w:t>
            </w:r>
          </w:p>
        </w:tc>
      </w:tr>
      <w:tr w:rsidR="00E70A4D" w:rsidRPr="00321907" w14:paraId="6527E9C7" w14:textId="77777777" w:rsidTr="007B357C">
        <w:trPr>
          <w:trHeight w:val="20"/>
        </w:trPr>
        <w:tc>
          <w:tcPr>
            <w:tcW w:w="634" w:type="dxa"/>
            <w:vAlign w:val="center"/>
          </w:tcPr>
          <w:p w14:paraId="695D8358" w14:textId="2573320A" w:rsidR="00E70A4D" w:rsidRPr="00321907" w:rsidRDefault="00E70A4D" w:rsidP="005C0D79">
            <w:pPr>
              <w:rPr>
                <w:sz w:val="20"/>
                <w:szCs w:val="20"/>
              </w:rPr>
            </w:pPr>
            <w:r>
              <w:rPr>
                <w:sz w:val="20"/>
                <w:szCs w:val="20"/>
              </w:rPr>
              <w:t>2022</w:t>
            </w:r>
          </w:p>
        </w:tc>
        <w:tc>
          <w:tcPr>
            <w:tcW w:w="2105" w:type="dxa"/>
            <w:vAlign w:val="center"/>
          </w:tcPr>
          <w:p w14:paraId="4384BE8E" w14:textId="77777777" w:rsidR="00E70A4D" w:rsidRPr="00321907" w:rsidRDefault="00E70A4D" w:rsidP="005C0D79">
            <w:pPr>
              <w:jc w:val="center"/>
              <w:rPr>
                <w:sz w:val="20"/>
                <w:szCs w:val="20"/>
              </w:rPr>
            </w:pPr>
            <w:r w:rsidRPr="00321907">
              <w:rPr>
                <w:sz w:val="20"/>
                <w:szCs w:val="20"/>
              </w:rPr>
              <w:t>DW Grant Award</w:t>
            </w:r>
          </w:p>
        </w:tc>
        <w:tc>
          <w:tcPr>
            <w:tcW w:w="1306" w:type="dxa"/>
            <w:vAlign w:val="center"/>
          </w:tcPr>
          <w:p w14:paraId="568F2387" w14:textId="6F4A38EC" w:rsidR="00E70A4D" w:rsidRPr="00EC1775" w:rsidRDefault="00E70A4D" w:rsidP="005C0D79">
            <w:pPr>
              <w:jc w:val="center"/>
              <w:rPr>
                <w:sz w:val="20"/>
                <w:szCs w:val="20"/>
              </w:rPr>
            </w:pPr>
            <w:r w:rsidRPr="00EC1775">
              <w:rPr>
                <w:sz w:val="20"/>
                <w:szCs w:val="20"/>
              </w:rPr>
              <w:t>$</w:t>
            </w:r>
            <w:r w:rsidR="00EC1775" w:rsidRPr="00EC1775">
              <w:rPr>
                <w:sz w:val="20"/>
                <w:szCs w:val="20"/>
              </w:rPr>
              <w:t>2,493,150</w:t>
            </w:r>
          </w:p>
        </w:tc>
        <w:tc>
          <w:tcPr>
            <w:tcW w:w="1350" w:type="dxa"/>
            <w:vAlign w:val="center"/>
          </w:tcPr>
          <w:p w14:paraId="4C52D8FE" w14:textId="5C970F50" w:rsidR="00E70A4D" w:rsidRPr="00EC1775" w:rsidRDefault="00E70A4D" w:rsidP="005C0D79">
            <w:pPr>
              <w:jc w:val="center"/>
              <w:rPr>
                <w:sz w:val="20"/>
                <w:szCs w:val="20"/>
              </w:rPr>
            </w:pPr>
          </w:p>
        </w:tc>
        <w:tc>
          <w:tcPr>
            <w:tcW w:w="1257" w:type="dxa"/>
            <w:vAlign w:val="center"/>
          </w:tcPr>
          <w:p w14:paraId="215B7825" w14:textId="77777777" w:rsidR="00E70A4D" w:rsidRPr="00EC1775" w:rsidRDefault="00E70A4D" w:rsidP="005C0D79">
            <w:pPr>
              <w:jc w:val="center"/>
              <w:rPr>
                <w:sz w:val="20"/>
                <w:szCs w:val="20"/>
              </w:rPr>
            </w:pPr>
            <w:r w:rsidRPr="00EC1775">
              <w:rPr>
                <w:sz w:val="20"/>
                <w:szCs w:val="20"/>
              </w:rPr>
              <w:t>---</w:t>
            </w:r>
          </w:p>
        </w:tc>
        <w:tc>
          <w:tcPr>
            <w:tcW w:w="1318" w:type="dxa"/>
            <w:vAlign w:val="center"/>
          </w:tcPr>
          <w:p w14:paraId="4D1CDE2F" w14:textId="2E9E7896" w:rsidR="00E70A4D" w:rsidRPr="00EC1775" w:rsidRDefault="008714F4" w:rsidP="005C0D79">
            <w:pPr>
              <w:jc w:val="center"/>
              <w:rPr>
                <w:sz w:val="20"/>
                <w:szCs w:val="20"/>
              </w:rPr>
            </w:pPr>
            <w:r w:rsidRPr="00EC1775">
              <w:rPr>
                <w:sz w:val="20"/>
                <w:szCs w:val="20"/>
              </w:rPr>
              <w:t>$2,493,150</w:t>
            </w:r>
          </w:p>
        </w:tc>
        <w:tc>
          <w:tcPr>
            <w:tcW w:w="1380" w:type="dxa"/>
            <w:vAlign w:val="center"/>
          </w:tcPr>
          <w:p w14:paraId="67849A7F" w14:textId="1084CB84" w:rsidR="00E70A4D" w:rsidRPr="00EC1775" w:rsidRDefault="008714F4" w:rsidP="005C0D79">
            <w:pPr>
              <w:jc w:val="center"/>
              <w:rPr>
                <w:sz w:val="20"/>
                <w:szCs w:val="20"/>
              </w:rPr>
            </w:pPr>
            <w:r w:rsidRPr="00EC1775">
              <w:rPr>
                <w:sz w:val="20"/>
                <w:szCs w:val="20"/>
              </w:rPr>
              <w:t>$2,493,150</w:t>
            </w:r>
          </w:p>
        </w:tc>
      </w:tr>
      <w:tr w:rsidR="008714F4" w:rsidRPr="00321907" w14:paraId="05E15469" w14:textId="77777777" w:rsidTr="007B357C">
        <w:trPr>
          <w:trHeight w:val="20"/>
        </w:trPr>
        <w:tc>
          <w:tcPr>
            <w:tcW w:w="634" w:type="dxa"/>
            <w:vAlign w:val="center"/>
          </w:tcPr>
          <w:p w14:paraId="58EAB709" w14:textId="04A9E9E0" w:rsidR="008714F4" w:rsidRDefault="008714F4" w:rsidP="008714F4">
            <w:pPr>
              <w:rPr>
                <w:sz w:val="20"/>
                <w:szCs w:val="20"/>
              </w:rPr>
            </w:pPr>
            <w:r>
              <w:rPr>
                <w:sz w:val="20"/>
                <w:szCs w:val="20"/>
              </w:rPr>
              <w:t>2022</w:t>
            </w:r>
          </w:p>
        </w:tc>
        <w:tc>
          <w:tcPr>
            <w:tcW w:w="2105" w:type="dxa"/>
            <w:vAlign w:val="center"/>
          </w:tcPr>
          <w:p w14:paraId="3F7CC33D" w14:textId="41531A7B" w:rsidR="008714F4" w:rsidRPr="00321907" w:rsidRDefault="008714F4" w:rsidP="008714F4">
            <w:pPr>
              <w:jc w:val="center"/>
              <w:rPr>
                <w:sz w:val="20"/>
                <w:szCs w:val="20"/>
              </w:rPr>
            </w:pPr>
            <w:r>
              <w:rPr>
                <w:sz w:val="20"/>
                <w:szCs w:val="20"/>
              </w:rPr>
              <w:t>Transfer</w:t>
            </w:r>
          </w:p>
        </w:tc>
        <w:tc>
          <w:tcPr>
            <w:tcW w:w="1306" w:type="dxa"/>
            <w:vAlign w:val="center"/>
          </w:tcPr>
          <w:p w14:paraId="305AD560" w14:textId="77777777" w:rsidR="008714F4" w:rsidRPr="00EC1775" w:rsidRDefault="008714F4" w:rsidP="008714F4">
            <w:pPr>
              <w:jc w:val="center"/>
              <w:rPr>
                <w:sz w:val="20"/>
                <w:szCs w:val="20"/>
              </w:rPr>
            </w:pPr>
          </w:p>
        </w:tc>
        <w:tc>
          <w:tcPr>
            <w:tcW w:w="1350" w:type="dxa"/>
            <w:vAlign w:val="center"/>
          </w:tcPr>
          <w:p w14:paraId="27B89207" w14:textId="2A33633B" w:rsidR="008714F4" w:rsidRPr="00EC1775" w:rsidRDefault="008714F4" w:rsidP="008714F4">
            <w:pPr>
              <w:jc w:val="center"/>
              <w:rPr>
                <w:sz w:val="20"/>
                <w:szCs w:val="20"/>
              </w:rPr>
            </w:pPr>
            <w:r w:rsidRPr="00EC1775">
              <w:rPr>
                <w:sz w:val="20"/>
                <w:szCs w:val="20"/>
              </w:rPr>
              <w:t>$459,000</w:t>
            </w:r>
          </w:p>
        </w:tc>
        <w:tc>
          <w:tcPr>
            <w:tcW w:w="1257" w:type="dxa"/>
          </w:tcPr>
          <w:p w14:paraId="6EC6DB53" w14:textId="22DD7A0A" w:rsidR="008714F4" w:rsidRPr="00EC1775" w:rsidRDefault="008714F4" w:rsidP="008714F4">
            <w:pPr>
              <w:jc w:val="center"/>
              <w:rPr>
                <w:sz w:val="20"/>
                <w:szCs w:val="20"/>
              </w:rPr>
            </w:pPr>
            <w:r w:rsidRPr="00527E95">
              <w:rPr>
                <w:sz w:val="20"/>
                <w:szCs w:val="20"/>
              </w:rPr>
              <w:t>---</w:t>
            </w:r>
          </w:p>
        </w:tc>
        <w:tc>
          <w:tcPr>
            <w:tcW w:w="1318" w:type="dxa"/>
            <w:vAlign w:val="center"/>
          </w:tcPr>
          <w:p w14:paraId="5DD8F59D" w14:textId="4ED0107E" w:rsidR="008714F4" w:rsidRPr="00EC1775" w:rsidRDefault="008714F4" w:rsidP="008714F4">
            <w:pPr>
              <w:jc w:val="center"/>
              <w:rPr>
                <w:sz w:val="20"/>
                <w:szCs w:val="20"/>
              </w:rPr>
            </w:pPr>
            <w:r w:rsidRPr="00EC1775">
              <w:rPr>
                <w:sz w:val="20"/>
                <w:szCs w:val="20"/>
              </w:rPr>
              <w:t>$2,</w:t>
            </w:r>
            <w:r>
              <w:rPr>
                <w:sz w:val="20"/>
                <w:szCs w:val="20"/>
              </w:rPr>
              <w:t>952</w:t>
            </w:r>
            <w:r w:rsidRPr="00EC1775">
              <w:rPr>
                <w:sz w:val="20"/>
                <w:szCs w:val="20"/>
              </w:rPr>
              <w:t>,150</w:t>
            </w:r>
          </w:p>
        </w:tc>
        <w:tc>
          <w:tcPr>
            <w:tcW w:w="1380" w:type="dxa"/>
            <w:vAlign w:val="center"/>
          </w:tcPr>
          <w:p w14:paraId="6753689E" w14:textId="1F159B20" w:rsidR="008714F4" w:rsidRPr="00EC1775" w:rsidRDefault="008714F4" w:rsidP="008714F4">
            <w:pPr>
              <w:jc w:val="center"/>
              <w:rPr>
                <w:sz w:val="20"/>
                <w:szCs w:val="20"/>
              </w:rPr>
            </w:pPr>
            <w:r w:rsidRPr="00EC1775">
              <w:rPr>
                <w:sz w:val="20"/>
                <w:szCs w:val="20"/>
              </w:rPr>
              <w:t>$</w:t>
            </w:r>
            <w:r>
              <w:rPr>
                <w:sz w:val="20"/>
                <w:szCs w:val="20"/>
              </w:rPr>
              <w:t>2,034,150</w:t>
            </w:r>
          </w:p>
        </w:tc>
      </w:tr>
      <w:tr w:rsidR="008714F4" w:rsidRPr="00321907" w14:paraId="6B2D5AE9" w14:textId="77777777" w:rsidTr="007B357C">
        <w:trPr>
          <w:trHeight w:val="20"/>
        </w:trPr>
        <w:tc>
          <w:tcPr>
            <w:tcW w:w="634" w:type="dxa"/>
            <w:vAlign w:val="center"/>
          </w:tcPr>
          <w:p w14:paraId="789206C2" w14:textId="25AA10DB" w:rsidR="008714F4" w:rsidRDefault="008714F4" w:rsidP="008714F4">
            <w:pPr>
              <w:rPr>
                <w:sz w:val="20"/>
                <w:szCs w:val="20"/>
              </w:rPr>
            </w:pPr>
            <w:r>
              <w:rPr>
                <w:sz w:val="20"/>
                <w:szCs w:val="20"/>
              </w:rPr>
              <w:t>2023</w:t>
            </w:r>
          </w:p>
        </w:tc>
        <w:tc>
          <w:tcPr>
            <w:tcW w:w="2105" w:type="dxa"/>
            <w:vAlign w:val="center"/>
          </w:tcPr>
          <w:p w14:paraId="151A3B49" w14:textId="22E60873" w:rsidR="008714F4" w:rsidRPr="00321907" w:rsidRDefault="008714F4" w:rsidP="008714F4">
            <w:pPr>
              <w:jc w:val="center"/>
              <w:rPr>
                <w:sz w:val="20"/>
                <w:szCs w:val="20"/>
              </w:rPr>
            </w:pPr>
            <w:r w:rsidRPr="00321907">
              <w:rPr>
                <w:sz w:val="20"/>
                <w:szCs w:val="20"/>
              </w:rPr>
              <w:t>DW Grant Award</w:t>
            </w:r>
          </w:p>
        </w:tc>
        <w:tc>
          <w:tcPr>
            <w:tcW w:w="1306" w:type="dxa"/>
            <w:vAlign w:val="center"/>
          </w:tcPr>
          <w:p w14:paraId="2A612E45" w14:textId="2412F4C4" w:rsidR="008714F4" w:rsidRPr="00EC1775" w:rsidRDefault="008714F4" w:rsidP="008714F4">
            <w:pPr>
              <w:jc w:val="center"/>
              <w:rPr>
                <w:sz w:val="20"/>
                <w:szCs w:val="20"/>
              </w:rPr>
            </w:pPr>
            <w:r>
              <w:rPr>
                <w:sz w:val="20"/>
                <w:szCs w:val="20"/>
              </w:rPr>
              <w:t>$5,014,350</w:t>
            </w:r>
          </w:p>
        </w:tc>
        <w:tc>
          <w:tcPr>
            <w:tcW w:w="1350" w:type="dxa"/>
            <w:vAlign w:val="center"/>
          </w:tcPr>
          <w:p w14:paraId="6D38E33B" w14:textId="77777777" w:rsidR="008714F4" w:rsidRPr="00EC1775" w:rsidRDefault="008714F4" w:rsidP="008714F4">
            <w:pPr>
              <w:jc w:val="center"/>
              <w:rPr>
                <w:sz w:val="20"/>
                <w:szCs w:val="20"/>
              </w:rPr>
            </w:pPr>
          </w:p>
        </w:tc>
        <w:tc>
          <w:tcPr>
            <w:tcW w:w="1257" w:type="dxa"/>
          </w:tcPr>
          <w:p w14:paraId="3A724A4A" w14:textId="259F9BE4" w:rsidR="008714F4" w:rsidRPr="00EC1775" w:rsidRDefault="008714F4" w:rsidP="008714F4">
            <w:pPr>
              <w:jc w:val="center"/>
              <w:rPr>
                <w:sz w:val="20"/>
                <w:szCs w:val="20"/>
              </w:rPr>
            </w:pPr>
            <w:r w:rsidRPr="00527E95">
              <w:rPr>
                <w:sz w:val="20"/>
                <w:szCs w:val="20"/>
              </w:rPr>
              <w:t>---</w:t>
            </w:r>
          </w:p>
        </w:tc>
        <w:tc>
          <w:tcPr>
            <w:tcW w:w="1318" w:type="dxa"/>
            <w:vAlign w:val="center"/>
          </w:tcPr>
          <w:p w14:paraId="4D98DC76" w14:textId="0285A308" w:rsidR="008714F4" w:rsidRPr="00EC1775" w:rsidRDefault="008714F4" w:rsidP="008714F4">
            <w:pPr>
              <w:jc w:val="center"/>
              <w:rPr>
                <w:sz w:val="20"/>
                <w:szCs w:val="20"/>
              </w:rPr>
            </w:pPr>
            <w:r>
              <w:rPr>
                <w:sz w:val="20"/>
                <w:szCs w:val="20"/>
              </w:rPr>
              <w:t>$5,473,350</w:t>
            </w:r>
          </w:p>
        </w:tc>
        <w:tc>
          <w:tcPr>
            <w:tcW w:w="1380" w:type="dxa"/>
            <w:vAlign w:val="center"/>
          </w:tcPr>
          <w:p w14:paraId="7C4E8410" w14:textId="6D1D78CE" w:rsidR="008714F4" w:rsidRPr="00EC1775" w:rsidRDefault="008714F4" w:rsidP="008714F4">
            <w:pPr>
              <w:jc w:val="center"/>
              <w:rPr>
                <w:sz w:val="20"/>
                <w:szCs w:val="20"/>
              </w:rPr>
            </w:pPr>
            <w:r>
              <w:rPr>
                <w:sz w:val="20"/>
                <w:szCs w:val="20"/>
              </w:rPr>
              <w:t>$4,555,350</w:t>
            </w:r>
          </w:p>
        </w:tc>
      </w:tr>
      <w:tr w:rsidR="008714F4" w:rsidRPr="00321907" w14:paraId="5F6B5E43" w14:textId="77777777" w:rsidTr="007B357C">
        <w:trPr>
          <w:trHeight w:val="20"/>
        </w:trPr>
        <w:tc>
          <w:tcPr>
            <w:tcW w:w="634" w:type="dxa"/>
            <w:vAlign w:val="center"/>
          </w:tcPr>
          <w:p w14:paraId="26C01960" w14:textId="072505FC" w:rsidR="008714F4" w:rsidRDefault="008714F4" w:rsidP="008714F4">
            <w:pPr>
              <w:rPr>
                <w:sz w:val="20"/>
                <w:szCs w:val="20"/>
              </w:rPr>
            </w:pPr>
            <w:r>
              <w:rPr>
                <w:sz w:val="20"/>
                <w:szCs w:val="20"/>
              </w:rPr>
              <w:t>2024</w:t>
            </w:r>
          </w:p>
        </w:tc>
        <w:tc>
          <w:tcPr>
            <w:tcW w:w="2105" w:type="dxa"/>
            <w:vAlign w:val="center"/>
          </w:tcPr>
          <w:p w14:paraId="329A479A" w14:textId="4BF484D5" w:rsidR="008714F4" w:rsidRPr="00321907" w:rsidRDefault="008714F4" w:rsidP="008714F4">
            <w:pPr>
              <w:jc w:val="center"/>
              <w:rPr>
                <w:sz w:val="20"/>
                <w:szCs w:val="20"/>
              </w:rPr>
            </w:pPr>
            <w:r w:rsidRPr="00321907">
              <w:rPr>
                <w:sz w:val="20"/>
                <w:szCs w:val="20"/>
              </w:rPr>
              <w:t>DW Grant Award</w:t>
            </w:r>
          </w:p>
        </w:tc>
        <w:tc>
          <w:tcPr>
            <w:tcW w:w="1306" w:type="dxa"/>
            <w:vAlign w:val="center"/>
          </w:tcPr>
          <w:p w14:paraId="63B99C9C" w14:textId="39EE34A1" w:rsidR="008714F4" w:rsidRPr="00EC1775" w:rsidRDefault="008714F4" w:rsidP="008714F4">
            <w:pPr>
              <w:jc w:val="center"/>
              <w:rPr>
                <w:sz w:val="20"/>
                <w:szCs w:val="20"/>
              </w:rPr>
            </w:pPr>
            <w:r>
              <w:rPr>
                <w:sz w:val="20"/>
                <w:szCs w:val="20"/>
              </w:rPr>
              <w:t>$7,535,550</w:t>
            </w:r>
          </w:p>
        </w:tc>
        <w:tc>
          <w:tcPr>
            <w:tcW w:w="1350" w:type="dxa"/>
            <w:vAlign w:val="center"/>
          </w:tcPr>
          <w:p w14:paraId="62B9F951" w14:textId="77777777" w:rsidR="008714F4" w:rsidRPr="00EC1775" w:rsidRDefault="008714F4" w:rsidP="008714F4">
            <w:pPr>
              <w:jc w:val="center"/>
              <w:rPr>
                <w:sz w:val="20"/>
                <w:szCs w:val="20"/>
              </w:rPr>
            </w:pPr>
          </w:p>
        </w:tc>
        <w:tc>
          <w:tcPr>
            <w:tcW w:w="1257" w:type="dxa"/>
          </w:tcPr>
          <w:p w14:paraId="139E80CE" w14:textId="772C2D87" w:rsidR="008714F4" w:rsidRPr="00EC1775" w:rsidRDefault="008714F4" w:rsidP="008714F4">
            <w:pPr>
              <w:jc w:val="center"/>
              <w:rPr>
                <w:sz w:val="20"/>
                <w:szCs w:val="20"/>
              </w:rPr>
            </w:pPr>
            <w:r w:rsidRPr="00527E95">
              <w:rPr>
                <w:sz w:val="20"/>
                <w:szCs w:val="20"/>
              </w:rPr>
              <w:t>---</w:t>
            </w:r>
          </w:p>
        </w:tc>
        <w:tc>
          <w:tcPr>
            <w:tcW w:w="1318" w:type="dxa"/>
            <w:vAlign w:val="center"/>
          </w:tcPr>
          <w:p w14:paraId="42C01349" w14:textId="540EE5F6" w:rsidR="008714F4" w:rsidRPr="00EC1775" w:rsidRDefault="008714F4" w:rsidP="008714F4">
            <w:pPr>
              <w:jc w:val="center"/>
              <w:rPr>
                <w:sz w:val="20"/>
                <w:szCs w:val="20"/>
              </w:rPr>
            </w:pPr>
            <w:r>
              <w:rPr>
                <w:sz w:val="20"/>
                <w:szCs w:val="20"/>
              </w:rPr>
              <w:t>$7,994,550</w:t>
            </w:r>
          </w:p>
        </w:tc>
        <w:tc>
          <w:tcPr>
            <w:tcW w:w="1380" w:type="dxa"/>
            <w:vAlign w:val="center"/>
          </w:tcPr>
          <w:p w14:paraId="5DB0B70D" w14:textId="622EDED0" w:rsidR="008714F4" w:rsidRPr="00EC1775" w:rsidRDefault="008714F4" w:rsidP="008714F4">
            <w:pPr>
              <w:jc w:val="center"/>
              <w:rPr>
                <w:sz w:val="20"/>
                <w:szCs w:val="20"/>
              </w:rPr>
            </w:pPr>
            <w:r>
              <w:rPr>
                <w:sz w:val="20"/>
                <w:szCs w:val="20"/>
              </w:rPr>
              <w:t>$7,076,550</w:t>
            </w:r>
          </w:p>
        </w:tc>
      </w:tr>
      <w:tr w:rsidR="00531781" w:rsidRPr="00321907" w14:paraId="187CC009" w14:textId="77777777" w:rsidTr="007B357C">
        <w:trPr>
          <w:trHeight w:val="20"/>
        </w:trPr>
        <w:tc>
          <w:tcPr>
            <w:tcW w:w="634" w:type="dxa"/>
            <w:vAlign w:val="center"/>
          </w:tcPr>
          <w:p w14:paraId="66C7DD06" w14:textId="7AC76EE1" w:rsidR="00531781" w:rsidRDefault="00531781" w:rsidP="008714F4">
            <w:pPr>
              <w:rPr>
                <w:sz w:val="20"/>
                <w:szCs w:val="20"/>
              </w:rPr>
            </w:pPr>
            <w:r>
              <w:rPr>
                <w:sz w:val="20"/>
                <w:szCs w:val="20"/>
              </w:rPr>
              <w:t>2025</w:t>
            </w:r>
          </w:p>
        </w:tc>
        <w:tc>
          <w:tcPr>
            <w:tcW w:w="2105" w:type="dxa"/>
            <w:vAlign w:val="center"/>
          </w:tcPr>
          <w:p w14:paraId="1C770BA5" w14:textId="01D1FC24" w:rsidR="00531781" w:rsidRPr="00321907" w:rsidRDefault="00531781" w:rsidP="008714F4">
            <w:pPr>
              <w:jc w:val="center"/>
              <w:rPr>
                <w:sz w:val="20"/>
                <w:szCs w:val="20"/>
              </w:rPr>
            </w:pPr>
            <w:r>
              <w:rPr>
                <w:sz w:val="20"/>
                <w:szCs w:val="20"/>
              </w:rPr>
              <w:t>DW Grant Award</w:t>
            </w:r>
          </w:p>
        </w:tc>
        <w:tc>
          <w:tcPr>
            <w:tcW w:w="1306" w:type="dxa"/>
            <w:vAlign w:val="center"/>
          </w:tcPr>
          <w:p w14:paraId="1E0671F7" w14:textId="1B5F9FC0" w:rsidR="00531781" w:rsidRDefault="00531781" w:rsidP="008714F4">
            <w:pPr>
              <w:jc w:val="center"/>
              <w:rPr>
                <w:sz w:val="20"/>
                <w:szCs w:val="20"/>
              </w:rPr>
            </w:pPr>
            <w:r>
              <w:rPr>
                <w:sz w:val="20"/>
                <w:szCs w:val="20"/>
              </w:rPr>
              <w:t>$10,056,750</w:t>
            </w:r>
          </w:p>
        </w:tc>
        <w:tc>
          <w:tcPr>
            <w:tcW w:w="1350" w:type="dxa"/>
            <w:vAlign w:val="center"/>
          </w:tcPr>
          <w:p w14:paraId="784ECCF8" w14:textId="77777777" w:rsidR="00531781" w:rsidRPr="00EC1775" w:rsidRDefault="00531781" w:rsidP="008714F4">
            <w:pPr>
              <w:jc w:val="center"/>
              <w:rPr>
                <w:sz w:val="20"/>
                <w:szCs w:val="20"/>
              </w:rPr>
            </w:pPr>
          </w:p>
        </w:tc>
        <w:tc>
          <w:tcPr>
            <w:tcW w:w="1257" w:type="dxa"/>
          </w:tcPr>
          <w:p w14:paraId="021A47CC" w14:textId="77777777" w:rsidR="00531781" w:rsidRPr="00527E95" w:rsidRDefault="00531781" w:rsidP="008714F4">
            <w:pPr>
              <w:jc w:val="center"/>
              <w:rPr>
                <w:sz w:val="20"/>
                <w:szCs w:val="20"/>
              </w:rPr>
            </w:pPr>
          </w:p>
        </w:tc>
        <w:tc>
          <w:tcPr>
            <w:tcW w:w="1318" w:type="dxa"/>
            <w:vAlign w:val="center"/>
          </w:tcPr>
          <w:p w14:paraId="454120C5" w14:textId="3D3245B5" w:rsidR="00531781" w:rsidRDefault="00531781" w:rsidP="008714F4">
            <w:pPr>
              <w:jc w:val="center"/>
              <w:rPr>
                <w:sz w:val="20"/>
                <w:szCs w:val="20"/>
              </w:rPr>
            </w:pPr>
            <w:r>
              <w:rPr>
                <w:sz w:val="20"/>
                <w:szCs w:val="20"/>
              </w:rPr>
              <w:t>$10,515,750</w:t>
            </w:r>
          </w:p>
        </w:tc>
        <w:tc>
          <w:tcPr>
            <w:tcW w:w="1380" w:type="dxa"/>
            <w:vAlign w:val="center"/>
          </w:tcPr>
          <w:p w14:paraId="6E93003B" w14:textId="54C65C47" w:rsidR="00531781" w:rsidRDefault="00531781" w:rsidP="008714F4">
            <w:pPr>
              <w:jc w:val="center"/>
              <w:rPr>
                <w:sz w:val="20"/>
                <w:szCs w:val="20"/>
              </w:rPr>
            </w:pPr>
            <w:r>
              <w:rPr>
                <w:sz w:val="20"/>
                <w:szCs w:val="20"/>
              </w:rPr>
              <w:t>$9,597,750</w:t>
            </w:r>
          </w:p>
        </w:tc>
      </w:tr>
      <w:tr w:rsidR="00216858" w:rsidRPr="00321907" w14:paraId="09628606" w14:textId="77777777" w:rsidTr="007B357C">
        <w:trPr>
          <w:trHeight w:val="20"/>
        </w:trPr>
        <w:tc>
          <w:tcPr>
            <w:tcW w:w="634" w:type="dxa"/>
            <w:tcBorders>
              <w:bottom w:val="single" w:sz="4" w:space="0" w:color="auto"/>
            </w:tcBorders>
            <w:vAlign w:val="center"/>
          </w:tcPr>
          <w:p w14:paraId="43B0AF99" w14:textId="0658F4D8" w:rsidR="00216858" w:rsidRDefault="00216858" w:rsidP="008714F4">
            <w:pPr>
              <w:rPr>
                <w:sz w:val="20"/>
                <w:szCs w:val="20"/>
              </w:rPr>
            </w:pPr>
            <w:r>
              <w:rPr>
                <w:sz w:val="20"/>
                <w:szCs w:val="20"/>
              </w:rPr>
              <w:t>2026</w:t>
            </w:r>
          </w:p>
        </w:tc>
        <w:tc>
          <w:tcPr>
            <w:tcW w:w="2105" w:type="dxa"/>
            <w:tcBorders>
              <w:bottom w:val="single" w:sz="4" w:space="0" w:color="auto"/>
            </w:tcBorders>
            <w:vAlign w:val="center"/>
          </w:tcPr>
          <w:p w14:paraId="6C4D668F" w14:textId="68AAA1AB" w:rsidR="00216858" w:rsidRDefault="00216858" w:rsidP="008714F4">
            <w:pPr>
              <w:jc w:val="center"/>
              <w:rPr>
                <w:sz w:val="20"/>
                <w:szCs w:val="20"/>
              </w:rPr>
            </w:pPr>
            <w:r>
              <w:rPr>
                <w:sz w:val="20"/>
                <w:szCs w:val="20"/>
              </w:rPr>
              <w:t>DW Grant Award</w:t>
            </w:r>
          </w:p>
        </w:tc>
        <w:tc>
          <w:tcPr>
            <w:tcW w:w="1306" w:type="dxa"/>
            <w:tcBorders>
              <w:bottom w:val="single" w:sz="4" w:space="0" w:color="auto"/>
            </w:tcBorders>
            <w:vAlign w:val="center"/>
          </w:tcPr>
          <w:p w14:paraId="70645DF4" w14:textId="7DA25941" w:rsidR="00216858" w:rsidRDefault="00797F21" w:rsidP="008714F4">
            <w:pPr>
              <w:jc w:val="center"/>
              <w:rPr>
                <w:sz w:val="20"/>
                <w:szCs w:val="20"/>
              </w:rPr>
            </w:pPr>
            <w:r>
              <w:rPr>
                <w:sz w:val="20"/>
                <w:szCs w:val="20"/>
              </w:rPr>
              <w:t>$12,577,950</w:t>
            </w:r>
          </w:p>
        </w:tc>
        <w:tc>
          <w:tcPr>
            <w:tcW w:w="1350" w:type="dxa"/>
            <w:vAlign w:val="center"/>
          </w:tcPr>
          <w:p w14:paraId="557549F5" w14:textId="77777777" w:rsidR="00216858" w:rsidRPr="00EC1775" w:rsidRDefault="00216858" w:rsidP="008714F4">
            <w:pPr>
              <w:jc w:val="center"/>
              <w:rPr>
                <w:sz w:val="20"/>
                <w:szCs w:val="20"/>
              </w:rPr>
            </w:pPr>
          </w:p>
        </w:tc>
        <w:tc>
          <w:tcPr>
            <w:tcW w:w="1257" w:type="dxa"/>
          </w:tcPr>
          <w:p w14:paraId="0FA320A3" w14:textId="77777777" w:rsidR="00216858" w:rsidRPr="00527E95" w:rsidRDefault="00216858" w:rsidP="008714F4">
            <w:pPr>
              <w:jc w:val="center"/>
              <w:rPr>
                <w:sz w:val="20"/>
                <w:szCs w:val="20"/>
              </w:rPr>
            </w:pPr>
          </w:p>
        </w:tc>
        <w:tc>
          <w:tcPr>
            <w:tcW w:w="1318" w:type="dxa"/>
            <w:vAlign w:val="center"/>
          </w:tcPr>
          <w:p w14:paraId="0027BE86" w14:textId="2C076FD5" w:rsidR="00216858" w:rsidRDefault="00797F21" w:rsidP="008714F4">
            <w:pPr>
              <w:jc w:val="center"/>
              <w:rPr>
                <w:sz w:val="20"/>
                <w:szCs w:val="20"/>
              </w:rPr>
            </w:pPr>
            <w:r>
              <w:rPr>
                <w:sz w:val="20"/>
                <w:szCs w:val="20"/>
              </w:rPr>
              <w:t>$13,036,950</w:t>
            </w:r>
          </w:p>
        </w:tc>
        <w:tc>
          <w:tcPr>
            <w:tcW w:w="1380" w:type="dxa"/>
            <w:vAlign w:val="center"/>
          </w:tcPr>
          <w:p w14:paraId="0FC4BBBA" w14:textId="3A5697F1" w:rsidR="00216858" w:rsidRDefault="00797F21" w:rsidP="008714F4">
            <w:pPr>
              <w:jc w:val="center"/>
              <w:rPr>
                <w:sz w:val="20"/>
                <w:szCs w:val="20"/>
              </w:rPr>
            </w:pPr>
            <w:r>
              <w:rPr>
                <w:sz w:val="20"/>
                <w:szCs w:val="20"/>
              </w:rPr>
              <w:t>$12,118,950</w:t>
            </w:r>
          </w:p>
        </w:tc>
      </w:tr>
      <w:tr w:rsidR="008714F4" w:rsidRPr="00321907" w:rsidDel="008E14AC" w14:paraId="0DDF929E" w14:textId="77777777" w:rsidTr="007B357C">
        <w:trPr>
          <w:trHeight w:val="20"/>
        </w:trPr>
        <w:tc>
          <w:tcPr>
            <w:tcW w:w="4045" w:type="dxa"/>
            <w:gridSpan w:val="3"/>
            <w:tcBorders>
              <w:right w:val="single" w:sz="4" w:space="0" w:color="auto"/>
            </w:tcBorders>
            <w:vAlign w:val="center"/>
          </w:tcPr>
          <w:p w14:paraId="3A6956F8" w14:textId="77777777" w:rsidR="008714F4" w:rsidRPr="00E3302A" w:rsidDel="008E14AC" w:rsidRDefault="008714F4" w:rsidP="008714F4">
            <w:pPr>
              <w:rPr>
                <w:b/>
                <w:sz w:val="20"/>
                <w:szCs w:val="20"/>
              </w:rPr>
            </w:pPr>
            <w:r w:rsidRPr="00E3302A">
              <w:rPr>
                <w:b/>
                <w:sz w:val="20"/>
                <w:szCs w:val="20"/>
              </w:rPr>
              <w:t>Total</w:t>
            </w:r>
          </w:p>
        </w:tc>
        <w:tc>
          <w:tcPr>
            <w:tcW w:w="1350" w:type="dxa"/>
            <w:tcBorders>
              <w:left w:val="single" w:sz="4" w:space="0" w:color="auto"/>
              <w:right w:val="nil"/>
            </w:tcBorders>
            <w:vAlign w:val="center"/>
          </w:tcPr>
          <w:p w14:paraId="763A43F4" w14:textId="5C05E741" w:rsidR="008714F4" w:rsidRPr="00E3302A" w:rsidDel="008E14AC" w:rsidRDefault="008714F4" w:rsidP="008714F4">
            <w:pPr>
              <w:jc w:val="center"/>
              <w:rPr>
                <w:b/>
                <w:sz w:val="20"/>
                <w:szCs w:val="20"/>
              </w:rPr>
            </w:pPr>
            <w:r w:rsidRPr="00E3302A">
              <w:rPr>
                <w:b/>
                <w:sz w:val="20"/>
                <w:szCs w:val="20"/>
              </w:rPr>
              <w:t>$</w:t>
            </w:r>
            <w:r>
              <w:rPr>
                <w:b/>
                <w:sz w:val="20"/>
                <w:szCs w:val="20"/>
              </w:rPr>
              <w:t>459,000</w:t>
            </w:r>
          </w:p>
        </w:tc>
        <w:tc>
          <w:tcPr>
            <w:tcW w:w="1257" w:type="dxa"/>
            <w:tcBorders>
              <w:left w:val="nil"/>
              <w:right w:val="nil"/>
            </w:tcBorders>
            <w:vAlign w:val="center"/>
          </w:tcPr>
          <w:p w14:paraId="344DDC01" w14:textId="46FDE80C" w:rsidR="008714F4" w:rsidRPr="00E3302A" w:rsidDel="008E14AC" w:rsidRDefault="008714F4" w:rsidP="008714F4">
            <w:pPr>
              <w:jc w:val="center"/>
              <w:rPr>
                <w:b/>
                <w:sz w:val="20"/>
                <w:szCs w:val="20"/>
              </w:rPr>
            </w:pPr>
            <w:r w:rsidRPr="00E3302A">
              <w:rPr>
                <w:b/>
                <w:sz w:val="20"/>
                <w:szCs w:val="20"/>
              </w:rPr>
              <w:t>$</w:t>
            </w:r>
            <w:r>
              <w:rPr>
                <w:b/>
                <w:sz w:val="20"/>
                <w:szCs w:val="20"/>
              </w:rPr>
              <w:t>0</w:t>
            </w:r>
          </w:p>
        </w:tc>
        <w:tc>
          <w:tcPr>
            <w:tcW w:w="2698" w:type="dxa"/>
            <w:gridSpan w:val="2"/>
            <w:tcBorders>
              <w:left w:val="nil"/>
            </w:tcBorders>
            <w:vAlign w:val="center"/>
          </w:tcPr>
          <w:p w14:paraId="29FDEFA7" w14:textId="77777777" w:rsidR="008714F4" w:rsidRPr="00321907" w:rsidDel="008E14AC" w:rsidRDefault="008714F4" w:rsidP="008714F4">
            <w:pPr>
              <w:jc w:val="center"/>
              <w:rPr>
                <w:sz w:val="20"/>
                <w:szCs w:val="20"/>
              </w:rPr>
            </w:pPr>
          </w:p>
        </w:tc>
      </w:tr>
    </w:tbl>
    <w:p w14:paraId="678B4D44" w14:textId="77777777" w:rsidR="00724574" w:rsidRPr="00724574" w:rsidRDefault="00724574" w:rsidP="00724574">
      <w:bookmarkStart w:id="110" w:name="_Toc137464935"/>
      <w:bookmarkStart w:id="111" w:name="_Toc387672754"/>
    </w:p>
    <w:p w14:paraId="17765294" w14:textId="493F519C" w:rsidR="00511A55" w:rsidRDefault="00511A55" w:rsidP="00511A55">
      <w:pPr>
        <w:pStyle w:val="Heading1"/>
      </w:pPr>
      <w:bookmarkStart w:id="112" w:name="_Toc230351782"/>
      <w:r>
        <w:t>Assurances</w:t>
      </w:r>
      <w:bookmarkEnd w:id="110"/>
      <w:bookmarkEnd w:id="112"/>
    </w:p>
    <w:p w14:paraId="314AC28C" w14:textId="77777777" w:rsidR="00511A55" w:rsidRDefault="00511A55" w:rsidP="00511A55">
      <w:r>
        <w:t>As outlined in the Operating Agreement between the Montana DEQ, DNRC, and EPA, Montana</w:t>
      </w:r>
      <w:r w:rsidRPr="009426C5">
        <w:t xml:space="preserve"> will assure compliance with </w:t>
      </w:r>
      <w:r>
        <w:t>the SDWA, and all associated state and federal regulations related to the DWSRF program including:</w:t>
      </w:r>
    </w:p>
    <w:p w14:paraId="1C1632FA" w14:textId="77777777" w:rsidR="00511A55" w:rsidRDefault="00511A55" w:rsidP="00511A55"/>
    <w:p w14:paraId="1AAE6A8D" w14:textId="4C944B66" w:rsidR="00511A55" w:rsidRPr="001C3B79" w:rsidRDefault="00511A55" w:rsidP="00511A55">
      <w:pPr>
        <w:pStyle w:val="ListParagraph"/>
        <w:numPr>
          <w:ilvl w:val="0"/>
          <w:numId w:val="23"/>
        </w:numPr>
      </w:pPr>
      <w:r>
        <w:t>Environmental Reviews - Montana</w:t>
      </w:r>
      <w:r w:rsidRPr="001C3B79">
        <w:t xml:space="preserve"> </w:t>
      </w:r>
      <w:r w:rsidRPr="009839BD">
        <w:t>will conduct an environmental review and a determination will be executed and distributed using a state process in accordance with 40 CFR Part 35.3580</w:t>
      </w:r>
      <w:r>
        <w:t xml:space="preserve"> and Montana Code Annotated (MCA) 75-6-224(1)(g).</w:t>
      </w:r>
      <w:r w:rsidRPr="009839BD">
        <w:t xml:space="preserve"> </w:t>
      </w:r>
      <w:r>
        <w:rPr>
          <w:rFonts w:asciiTheme="minorHAnsi" w:hAnsiTheme="minorHAnsi" w:cstheme="minorHAnsi"/>
        </w:rPr>
        <w:t xml:space="preserve">Montana will follow EPA-approved, </w:t>
      </w:r>
      <w:r w:rsidR="00B311D2">
        <w:rPr>
          <w:rFonts w:asciiTheme="minorHAnsi" w:hAnsiTheme="minorHAnsi" w:cstheme="minorHAnsi"/>
        </w:rPr>
        <w:t>National Environmental Policy Act (</w:t>
      </w:r>
      <w:r>
        <w:rPr>
          <w:rFonts w:asciiTheme="minorHAnsi" w:hAnsiTheme="minorHAnsi" w:cstheme="minorHAnsi"/>
        </w:rPr>
        <w:t>NEPA</w:t>
      </w:r>
      <w:r w:rsidR="00B311D2">
        <w:rPr>
          <w:rFonts w:asciiTheme="minorHAnsi" w:hAnsiTheme="minorHAnsi" w:cstheme="minorHAnsi"/>
        </w:rPr>
        <w:t>)</w:t>
      </w:r>
      <w:r>
        <w:rPr>
          <w:rFonts w:asciiTheme="minorHAnsi" w:hAnsiTheme="minorHAnsi" w:cstheme="minorHAnsi"/>
        </w:rPr>
        <w:t>-like procedures in conjunction with such environmental reviews.</w:t>
      </w:r>
      <w:r w:rsidRPr="00E756FB">
        <w:t xml:space="preserve"> </w:t>
      </w:r>
    </w:p>
    <w:p w14:paraId="4D55B212" w14:textId="77777777" w:rsidR="00511A55" w:rsidRDefault="00511A55" w:rsidP="00511A55">
      <w:pPr>
        <w:pStyle w:val="ListParagraph"/>
        <w:numPr>
          <w:ilvl w:val="0"/>
          <w:numId w:val="23"/>
        </w:numPr>
      </w:pPr>
      <w:r>
        <w:t xml:space="preserve">Timely expenditures – As required by Section </w:t>
      </w:r>
      <w:r w:rsidRPr="00F70D5B">
        <w:t xml:space="preserve">1452(g)(3) of the </w:t>
      </w:r>
      <w:r>
        <w:t>SDWA, the MCA 75-6-204 (2)(e)</w:t>
      </w:r>
      <w:r w:rsidRPr="001C3B79">
        <w:t xml:space="preserve"> </w:t>
      </w:r>
      <w:r>
        <w:t xml:space="preserve">denotes that Montana will </w:t>
      </w:r>
      <w:r w:rsidRPr="001C3B79">
        <w:t>expend all funds in the revolving fund in an expeditious and timely manner</w:t>
      </w:r>
      <w:r>
        <w:t>.</w:t>
      </w:r>
    </w:p>
    <w:p w14:paraId="65919C65" w14:textId="2B90F096" w:rsidR="005F5A74" w:rsidRDefault="005F5A74" w:rsidP="004D7E83">
      <w:pPr>
        <w:pStyle w:val="ListParagraph"/>
        <w:numPr>
          <w:ilvl w:val="0"/>
          <w:numId w:val="23"/>
        </w:numPr>
      </w:pPr>
      <w:r>
        <w:t>Timely data entry – As discussed in the Capitalization Grant Agreement, Montana will enter data for closed EC loans into the SRF Data System no less than quarterly.</w:t>
      </w:r>
    </w:p>
    <w:p w14:paraId="6B9D4D4E" w14:textId="77777777" w:rsidR="00511A55" w:rsidRDefault="00511A55" w:rsidP="00511A55">
      <w:pPr>
        <w:pStyle w:val="ListParagraph"/>
        <w:numPr>
          <w:ilvl w:val="0"/>
          <w:numId w:val="23"/>
        </w:numPr>
      </w:pPr>
      <w:r>
        <w:t xml:space="preserve">Federal Cross-cutters – In accordance with </w:t>
      </w:r>
      <w:r w:rsidRPr="00D91AC8">
        <w:t>40 CFR 35.550 (o)</w:t>
      </w:r>
      <w:r>
        <w:t xml:space="preserve">, Montana will comply with all applicable </w:t>
      </w:r>
      <w:r w:rsidRPr="00D91AC8">
        <w:t>Federal cross-cutting authorities</w:t>
      </w:r>
      <w:r>
        <w:t xml:space="preserve"> in existence at the time the loan recipient receives a binding commitment. </w:t>
      </w:r>
    </w:p>
    <w:p w14:paraId="0CAB9157" w14:textId="506F73C2" w:rsidR="00511A55" w:rsidRDefault="00511A55" w:rsidP="00511A55">
      <w:pPr>
        <w:pStyle w:val="ListParagraph"/>
        <w:numPr>
          <w:ilvl w:val="0"/>
          <w:numId w:val="23"/>
        </w:numPr>
      </w:pPr>
      <w:r>
        <w:t>Capacity Development Strategies – Per Section 1452(a)(3) of the SDWA and MCA 75-6-212(2)(c)(</w:t>
      </w:r>
      <w:proofErr w:type="spellStart"/>
      <w:r>
        <w:t>i</w:t>
      </w:r>
      <w:proofErr w:type="spellEnd"/>
      <w:r>
        <w:t xml:space="preserve">), funds can’t be used to </w:t>
      </w:r>
      <w:proofErr w:type="gramStart"/>
      <w:r>
        <w:t>provide assistance to</w:t>
      </w:r>
      <w:proofErr w:type="gramEnd"/>
      <w:r>
        <w:t xml:space="preserve"> a PWS that </w:t>
      </w:r>
      <w:r w:rsidRPr="00A251A4">
        <w:t xml:space="preserve">does not have the financial, managerial, and technical capability to ensure compliance with the requirements of the </w:t>
      </w:r>
      <w:r>
        <w:t>SDWA. As such, Montana will ensure that funds are provided to systems that have the technical, managerial, and financial capability to ensure compliance.</w:t>
      </w:r>
    </w:p>
    <w:p w14:paraId="1418DCD5" w14:textId="77777777" w:rsidR="00975DA9" w:rsidRDefault="00975DA9" w:rsidP="00975DA9"/>
    <w:p w14:paraId="7374F7E1" w14:textId="564318EC" w:rsidR="00975DA9" w:rsidRDefault="00975DA9" w:rsidP="00975DA9">
      <w:r>
        <w:t>For EC projects, if the project is not designed and/or constructed in accordance with DWSRF requirements, repayment of the loan according to the terms of the bond will be required.</w:t>
      </w:r>
    </w:p>
    <w:p w14:paraId="39C223A2" w14:textId="77777777" w:rsidR="00511A55" w:rsidRDefault="00511A55" w:rsidP="00511A55">
      <w:pPr>
        <w:ind w:left="360"/>
      </w:pPr>
    </w:p>
    <w:p w14:paraId="63892804" w14:textId="5889C1B5" w:rsidR="00410B53" w:rsidRDefault="00410B53" w:rsidP="00126FE1">
      <w:pPr>
        <w:pStyle w:val="Heading1"/>
      </w:pPr>
      <w:bookmarkStart w:id="113" w:name="_Toc230351783"/>
      <w:r>
        <w:t>Set-Asides</w:t>
      </w:r>
      <w:bookmarkEnd w:id="108"/>
      <w:bookmarkEnd w:id="111"/>
      <w:bookmarkEnd w:id="113"/>
    </w:p>
    <w:p w14:paraId="4F9525E4" w14:textId="6194262B" w:rsidR="004D73A3" w:rsidRDefault="004D73A3" w:rsidP="004D73A3">
      <w:bookmarkStart w:id="114" w:name="_Toc136072123"/>
      <w:bookmarkStart w:id="115" w:name="_Toc387672764"/>
      <w:bookmarkStart w:id="116" w:name="_Toc389210535"/>
      <w:bookmarkStart w:id="117" w:name="_Toc392060776"/>
      <w:bookmarkStart w:id="118" w:name="_Toc44056431"/>
      <w:bookmarkStart w:id="119" w:name="_Toc106021871"/>
      <w:bookmarkStart w:id="120" w:name="_Toc135225432"/>
      <w:bookmarkStart w:id="121" w:name="_Toc163819438"/>
      <w:bookmarkStart w:id="122" w:name="_Toc167092837"/>
      <w:bookmarkStart w:id="123" w:name="_Toc194928416"/>
      <w:r>
        <w:t xml:space="preserve">States are given flexibility to set aside specified amounts of the federal drinking water capitalization grant for specific purposes outlined in federal law. Montana has elected to fund the Administration set-aside for SFY </w:t>
      </w:r>
      <w:r w:rsidR="00724574">
        <w:t>2027</w:t>
      </w:r>
      <w:r>
        <w:t>.</w:t>
      </w:r>
    </w:p>
    <w:p w14:paraId="27DB8135" w14:textId="77777777" w:rsidR="004D73A3" w:rsidRPr="00076503" w:rsidRDefault="004D73A3" w:rsidP="004D73A3"/>
    <w:p w14:paraId="60AFB7E7" w14:textId="77777777" w:rsidR="004D73A3" w:rsidRPr="00034E78" w:rsidRDefault="004D73A3" w:rsidP="004D73A3">
      <w:pPr>
        <w:pStyle w:val="Heading2"/>
      </w:pPr>
      <w:bookmarkStart w:id="124" w:name="_Toc136072113"/>
      <w:bookmarkStart w:id="125" w:name="_Toc387672755"/>
      <w:r>
        <w:lastRenderedPageBreak/>
        <w:t xml:space="preserve"> </w:t>
      </w:r>
      <w:bookmarkStart w:id="126" w:name="_Toc197588010"/>
      <w:bookmarkStart w:id="127" w:name="_Toc230351784"/>
      <w:r>
        <w:t>Administration</w:t>
      </w:r>
      <w:bookmarkEnd w:id="124"/>
      <w:bookmarkEnd w:id="125"/>
      <w:bookmarkEnd w:id="126"/>
      <w:bookmarkEnd w:id="127"/>
    </w:p>
    <w:p w14:paraId="502F0DBB" w14:textId="4328A3F7" w:rsidR="004D73A3" w:rsidRDefault="004D73A3" w:rsidP="004D73A3">
      <w:r>
        <w:t xml:space="preserve">DEQ has the authority to set aside up to </w:t>
      </w:r>
      <w:r w:rsidRPr="00101BDE">
        <w:t>4%</w:t>
      </w:r>
      <w:r>
        <w:t xml:space="preserve"> </w:t>
      </w:r>
      <w:r w:rsidRPr="00101BDE">
        <w:t xml:space="preserve">of the FFY </w:t>
      </w:r>
      <w:r w:rsidR="00724574">
        <w:t>2026</w:t>
      </w:r>
      <w:r w:rsidRPr="00101BDE">
        <w:t xml:space="preserve"> </w:t>
      </w:r>
      <w:r>
        <w:t xml:space="preserve">EC </w:t>
      </w:r>
      <w:r w:rsidRPr="00101BDE">
        <w:t xml:space="preserve">capitalization grant for </w:t>
      </w:r>
      <w:r>
        <w:t>program administration. DEQ has elected to set aside the full 4% ($</w:t>
      </w:r>
      <w:r w:rsidR="00513010">
        <w:t>305,600</w:t>
      </w:r>
      <w:r>
        <w:t>). This will cover continued operation</w:t>
      </w:r>
      <w:r w:rsidR="00513010">
        <w:t xml:space="preserve">s specific to administration of the EC grant including </w:t>
      </w:r>
      <w:r>
        <w:t xml:space="preserve">development of the </w:t>
      </w:r>
      <w:r w:rsidR="00513010">
        <w:t xml:space="preserve">EC </w:t>
      </w:r>
      <w:r>
        <w:t>IUP</w:t>
      </w:r>
      <w:r w:rsidR="00513010">
        <w:t xml:space="preserve"> and Annual Report</w:t>
      </w:r>
      <w:r>
        <w:t xml:space="preserve">, </w:t>
      </w:r>
      <w:r w:rsidR="00513010">
        <w:t xml:space="preserve">and activities associated with the advisory committee and the public comment process as well as EC-specific project related work including </w:t>
      </w:r>
      <w:r>
        <w:t xml:space="preserve">review of water </w:t>
      </w:r>
      <w:r w:rsidRPr="00076503">
        <w:t>system</w:t>
      </w:r>
      <w:r>
        <w:t xml:space="preserve"> facilities plans, review of construction and bid documents, assistance and oversight during planning, design and construction, </w:t>
      </w:r>
      <w:r w:rsidR="00513010">
        <w:t xml:space="preserve">and </w:t>
      </w:r>
      <w:r>
        <w:t>administering repayments.</w:t>
      </w:r>
    </w:p>
    <w:p w14:paraId="5DB5F16B" w14:textId="77777777" w:rsidR="0096015F" w:rsidRDefault="0096015F" w:rsidP="004D73A3"/>
    <w:p w14:paraId="1677C0F9" w14:textId="426C12E6" w:rsidR="003A7218" w:rsidRDefault="004D73A3" w:rsidP="0096015F">
      <w:pPr>
        <w:rPr>
          <w:sz w:val="34"/>
          <w:szCs w:val="34"/>
        </w:rPr>
      </w:pPr>
      <w:r>
        <w:t xml:space="preserve">Any funds that are set aside for administration but not actually spent will be “banked;” i.e., they will be </w:t>
      </w:r>
      <w:r w:rsidRPr="00076503">
        <w:t>placed</w:t>
      </w:r>
      <w:r>
        <w:t xml:space="preserve"> in an account and used for administration in future years, after federal capitalization grants are no longer available and the program must rely solely on revolving funds. </w:t>
      </w:r>
    </w:p>
    <w:p w14:paraId="39B72BBA" w14:textId="77777777" w:rsidR="004D73A3" w:rsidRPr="004D73A3" w:rsidRDefault="004D73A3" w:rsidP="004D73A3">
      <w:pPr>
        <w:sectPr w:rsidR="004D73A3" w:rsidRPr="004D73A3" w:rsidSect="009F3352">
          <w:headerReference w:type="even" r:id="rId25"/>
          <w:headerReference w:type="default" r:id="rId26"/>
          <w:footerReference w:type="default" r:id="rId27"/>
          <w:headerReference w:type="first" r:id="rId28"/>
          <w:pgSz w:w="12240" w:h="15840" w:code="1"/>
          <w:pgMar w:top="1440" w:right="1440" w:bottom="1440" w:left="1440" w:header="720" w:footer="720" w:gutter="0"/>
          <w:cols w:space="720"/>
          <w:noEndnote/>
          <w:docGrid w:linePitch="299"/>
        </w:sectPr>
      </w:pPr>
    </w:p>
    <w:p w14:paraId="29C66A43" w14:textId="65C39139" w:rsidR="00911EF2" w:rsidRDefault="00410B53" w:rsidP="00C13F7E">
      <w:pPr>
        <w:pStyle w:val="Heading1"/>
        <w:numPr>
          <w:ilvl w:val="0"/>
          <w:numId w:val="0"/>
        </w:numPr>
        <w:jc w:val="center"/>
        <w:rPr>
          <w:sz w:val="34"/>
          <w:szCs w:val="34"/>
        </w:rPr>
      </w:pPr>
      <w:bookmarkStart w:id="128" w:name="_Toc198296025"/>
      <w:bookmarkStart w:id="129" w:name="_Toc202277679"/>
      <w:bookmarkStart w:id="130" w:name="_Toc230351785"/>
      <w:r w:rsidRPr="00C13F7E">
        <w:rPr>
          <w:sz w:val="34"/>
          <w:szCs w:val="34"/>
        </w:rPr>
        <w:lastRenderedPageBreak/>
        <w:t>A</w:t>
      </w:r>
      <w:r w:rsidR="00115EA7" w:rsidRPr="00C13F7E">
        <w:rPr>
          <w:sz w:val="34"/>
          <w:szCs w:val="34"/>
        </w:rPr>
        <w:t>PPENDIX</w:t>
      </w:r>
      <w:r w:rsidRPr="00C13F7E">
        <w:rPr>
          <w:sz w:val="34"/>
          <w:szCs w:val="34"/>
        </w:rPr>
        <w:t xml:space="preserve"> 1: R</w:t>
      </w:r>
      <w:r w:rsidR="00115EA7" w:rsidRPr="00C13F7E">
        <w:rPr>
          <w:sz w:val="34"/>
          <w:szCs w:val="34"/>
        </w:rPr>
        <w:t>ANKING</w:t>
      </w:r>
      <w:r w:rsidRPr="00C13F7E">
        <w:rPr>
          <w:sz w:val="34"/>
          <w:szCs w:val="34"/>
        </w:rPr>
        <w:t xml:space="preserve"> C</w:t>
      </w:r>
      <w:r w:rsidR="00115EA7" w:rsidRPr="00C13F7E">
        <w:rPr>
          <w:sz w:val="34"/>
          <w:szCs w:val="34"/>
        </w:rPr>
        <w:t>RITERIA</w:t>
      </w:r>
      <w:r w:rsidRPr="00C13F7E">
        <w:rPr>
          <w:sz w:val="34"/>
          <w:szCs w:val="34"/>
        </w:rPr>
        <w:t xml:space="preserve"> </w:t>
      </w:r>
      <w:r w:rsidR="00115EA7" w:rsidRPr="00C13F7E">
        <w:rPr>
          <w:sz w:val="34"/>
          <w:szCs w:val="34"/>
        </w:rPr>
        <w:t xml:space="preserve">FOR </w:t>
      </w:r>
      <w:r w:rsidR="00C43370" w:rsidRPr="00C13F7E">
        <w:rPr>
          <w:sz w:val="34"/>
          <w:szCs w:val="34"/>
        </w:rPr>
        <w:t>DW</w:t>
      </w:r>
      <w:r w:rsidRPr="00C13F7E">
        <w:rPr>
          <w:sz w:val="34"/>
          <w:szCs w:val="34"/>
        </w:rPr>
        <w:t>SRF P</w:t>
      </w:r>
      <w:r w:rsidR="00115EA7" w:rsidRPr="00C13F7E">
        <w:rPr>
          <w:sz w:val="34"/>
          <w:szCs w:val="34"/>
        </w:rPr>
        <w:t>RIORITY</w:t>
      </w:r>
      <w:r w:rsidRPr="00C13F7E">
        <w:rPr>
          <w:sz w:val="34"/>
          <w:szCs w:val="34"/>
        </w:rPr>
        <w:t xml:space="preserve"> L</w:t>
      </w:r>
      <w:r w:rsidR="00115EA7" w:rsidRPr="00C13F7E">
        <w:rPr>
          <w:sz w:val="34"/>
          <w:szCs w:val="34"/>
        </w:rPr>
        <w:t>IST</w:t>
      </w:r>
      <w:bookmarkEnd w:id="114"/>
      <w:bookmarkEnd w:id="115"/>
      <w:bookmarkEnd w:id="116"/>
      <w:bookmarkEnd w:id="117"/>
      <w:bookmarkEnd w:id="118"/>
      <w:bookmarkEnd w:id="119"/>
      <w:r w:rsidR="00043B93">
        <w:rPr>
          <w:sz w:val="34"/>
          <w:szCs w:val="34"/>
        </w:rPr>
        <w:t xml:space="preserve"> AND BYPASS PROCEDURES</w:t>
      </w:r>
      <w:bookmarkEnd w:id="120"/>
      <w:bookmarkEnd w:id="121"/>
      <w:bookmarkEnd w:id="122"/>
      <w:bookmarkEnd w:id="123"/>
      <w:bookmarkEnd w:id="128"/>
      <w:bookmarkEnd w:id="129"/>
      <w:bookmarkEnd w:id="130"/>
    </w:p>
    <w:p w14:paraId="1B6C3F14" w14:textId="77777777" w:rsidR="00043B93" w:rsidRDefault="00043B93" w:rsidP="00043B93"/>
    <w:p w14:paraId="7FFB703D" w14:textId="77777777" w:rsidR="00F34424" w:rsidRDefault="00F34424" w:rsidP="00043B93"/>
    <w:p w14:paraId="2C7E3C2B" w14:textId="1034F141" w:rsidR="00043B93" w:rsidRPr="00BB465C" w:rsidRDefault="00043B93" w:rsidP="00043B93">
      <w:pPr>
        <w:spacing w:after="120"/>
        <w:rPr>
          <w:b/>
          <w:bCs/>
          <w:sz w:val="32"/>
          <w:szCs w:val="32"/>
        </w:rPr>
      </w:pPr>
      <w:r>
        <w:rPr>
          <w:b/>
          <w:bCs/>
          <w:sz w:val="32"/>
          <w:szCs w:val="32"/>
        </w:rPr>
        <w:t>Ranking Criteria for DWSRF Priority List</w:t>
      </w:r>
    </w:p>
    <w:p w14:paraId="3A478EFC" w14:textId="77777777" w:rsidR="00043B93" w:rsidRPr="00043B93" w:rsidRDefault="00043B93" w:rsidP="00043B93"/>
    <w:p w14:paraId="3BE75805" w14:textId="17DA2E16" w:rsidR="00D64C73" w:rsidRPr="00DC198D" w:rsidRDefault="004938F4" w:rsidP="00B62117">
      <w:pPr>
        <w:pStyle w:val="ListParagraph"/>
        <w:numPr>
          <w:ilvl w:val="0"/>
          <w:numId w:val="1"/>
        </w:numPr>
        <w:rPr>
          <w:b/>
        </w:rPr>
      </w:pPr>
      <w:r>
        <w:rPr>
          <w:b/>
        </w:rPr>
        <w:t>EC</w:t>
      </w:r>
      <w:r w:rsidR="00162C36">
        <w:rPr>
          <w:b/>
        </w:rPr>
        <w:t xml:space="preserve"> Priority</w:t>
      </w:r>
      <w:r>
        <w:rPr>
          <w:b/>
        </w:rPr>
        <w:t xml:space="preserve"> Type</w:t>
      </w:r>
    </w:p>
    <w:p w14:paraId="35287CD4" w14:textId="77777777" w:rsidR="00D64C73" w:rsidRDefault="00D64C73" w:rsidP="00D64C73">
      <w:pPr>
        <w:pStyle w:val="ListParagraph"/>
      </w:pPr>
    </w:p>
    <w:p w14:paraId="6D498FA7" w14:textId="5A69C490" w:rsidR="00410B53" w:rsidRPr="003E5D49" w:rsidRDefault="004938F4" w:rsidP="007B5E40">
      <w:pPr>
        <w:pStyle w:val="ListParagraph"/>
        <w:numPr>
          <w:ilvl w:val="0"/>
          <w:numId w:val="5"/>
        </w:numPr>
        <w:spacing w:after="120"/>
        <w:rPr>
          <w:b/>
        </w:rPr>
      </w:pPr>
      <w:r>
        <w:rPr>
          <w:b/>
        </w:rPr>
        <w:t>PFAS</w:t>
      </w:r>
      <w:r w:rsidR="00410B53" w:rsidRPr="003E5D49">
        <w:rPr>
          <w:b/>
        </w:rPr>
        <w:t xml:space="preserve"> - </w:t>
      </w:r>
      <w:r>
        <w:rPr>
          <w:b/>
        </w:rPr>
        <w:t>6</w:t>
      </w:r>
      <w:r w:rsidR="00410B53" w:rsidRPr="003E5D49">
        <w:rPr>
          <w:b/>
        </w:rPr>
        <w:t xml:space="preserve">0 points </w:t>
      </w:r>
    </w:p>
    <w:p w14:paraId="4D6B8CE7" w14:textId="08685B4D" w:rsidR="00D56612" w:rsidRDefault="00540030" w:rsidP="0029739D">
      <w:pPr>
        <w:ind w:left="720"/>
      </w:pPr>
      <w:r>
        <w:t>In describing eligible uses of the EC grant funds, the BIL specifically states that the funds shall be used to address ECs with a focus on PFAS</w:t>
      </w:r>
      <w:r w:rsidR="00276337">
        <w:t>.</w:t>
      </w:r>
      <w:r>
        <w:t xml:space="preserve"> To align with the Congressional intent of these funds, projects that address PFAS will receive </w:t>
      </w:r>
      <w:r w:rsidR="003827FD">
        <w:t xml:space="preserve">60 </w:t>
      </w:r>
      <w:r>
        <w:t xml:space="preserve">points. </w:t>
      </w:r>
    </w:p>
    <w:p w14:paraId="2CD334A6" w14:textId="77777777" w:rsidR="00D56612" w:rsidRDefault="00D56612" w:rsidP="0029739D">
      <w:pPr>
        <w:ind w:left="720"/>
      </w:pPr>
    </w:p>
    <w:p w14:paraId="3888CF6C" w14:textId="2A00AA67" w:rsidR="004938F4" w:rsidRPr="003E5D49" w:rsidRDefault="004938F4" w:rsidP="007B5E40">
      <w:pPr>
        <w:pStyle w:val="ListParagraph"/>
        <w:numPr>
          <w:ilvl w:val="0"/>
          <w:numId w:val="5"/>
        </w:numPr>
        <w:spacing w:after="120"/>
        <w:rPr>
          <w:b/>
        </w:rPr>
      </w:pPr>
      <w:bookmarkStart w:id="131" w:name="_Hlk162615160"/>
      <w:r>
        <w:rPr>
          <w:b/>
        </w:rPr>
        <w:t xml:space="preserve">Manganese above </w:t>
      </w:r>
      <w:r w:rsidR="007F2189">
        <w:rPr>
          <w:b/>
        </w:rPr>
        <w:t xml:space="preserve">secondary standard </w:t>
      </w:r>
      <w:r>
        <w:rPr>
          <w:b/>
        </w:rPr>
        <w:t>of 0.</w:t>
      </w:r>
      <w:r w:rsidR="007F2189">
        <w:rPr>
          <w:b/>
        </w:rPr>
        <w:t>05</w:t>
      </w:r>
      <w:r>
        <w:rPr>
          <w:b/>
        </w:rPr>
        <w:t xml:space="preserve"> mg/L</w:t>
      </w:r>
      <w:r w:rsidRPr="003E5D49">
        <w:rPr>
          <w:b/>
        </w:rPr>
        <w:t xml:space="preserve"> - </w:t>
      </w:r>
      <w:r w:rsidR="00CF526C">
        <w:rPr>
          <w:b/>
        </w:rPr>
        <w:t>4</w:t>
      </w:r>
      <w:r>
        <w:rPr>
          <w:b/>
        </w:rPr>
        <w:t>0</w:t>
      </w:r>
      <w:r w:rsidRPr="003E5D49">
        <w:rPr>
          <w:b/>
        </w:rPr>
        <w:t xml:space="preserve"> points </w:t>
      </w:r>
    </w:p>
    <w:p w14:paraId="6AE41B3F" w14:textId="11F487B8" w:rsidR="00466A8E" w:rsidRDefault="003827FD" w:rsidP="004938F4">
      <w:pPr>
        <w:ind w:left="720"/>
      </w:pPr>
      <w:r>
        <w:t xml:space="preserve">Manganese is a known </w:t>
      </w:r>
      <w:r w:rsidR="006936A3">
        <w:t>contaminant</w:t>
      </w:r>
      <w:r>
        <w:t xml:space="preserve"> in </w:t>
      </w:r>
      <w:r w:rsidR="007C6BC7">
        <w:t xml:space="preserve">many of </w:t>
      </w:r>
      <w:r>
        <w:t>Montana</w:t>
      </w:r>
      <w:r w:rsidR="006936A3">
        <w:t>’s</w:t>
      </w:r>
      <w:r>
        <w:t xml:space="preserve"> drinking water sources. </w:t>
      </w:r>
      <w:r w:rsidR="00EC0EFC">
        <w:t xml:space="preserve">In 1979, </w:t>
      </w:r>
      <w:r w:rsidR="00C44371">
        <w:t xml:space="preserve">EPA established </w:t>
      </w:r>
      <w:r w:rsidR="00EC0EFC">
        <w:t xml:space="preserve">a </w:t>
      </w:r>
      <w:r w:rsidR="00C44371">
        <w:t xml:space="preserve">secondary </w:t>
      </w:r>
      <w:r w:rsidR="00C24714">
        <w:t xml:space="preserve">standard (i.e., </w:t>
      </w:r>
      <w:r w:rsidR="00245700">
        <w:t>SMCL</w:t>
      </w:r>
      <w:r w:rsidR="00C24714">
        <w:t>)</w:t>
      </w:r>
      <w:r w:rsidR="00C44371">
        <w:t xml:space="preserve"> for</w:t>
      </w:r>
      <w:r w:rsidR="00EC0EFC">
        <w:t xml:space="preserve"> manganese of 0.05 mg/L</w:t>
      </w:r>
      <w:r w:rsidR="00C24714">
        <w:t xml:space="preserve"> citing aesthetic and corrosion-related issues</w:t>
      </w:r>
      <w:r w:rsidR="00EC0EFC">
        <w:t xml:space="preserve">. </w:t>
      </w:r>
      <w:r>
        <w:t xml:space="preserve">In 2004, the EPA established a health advisory (HA) limit for manganese of 0.3 mg/L and cited health effects related to the nervous system with specific concerns regarding potential neurological effects. </w:t>
      </w:r>
      <w:r w:rsidR="00EC0EFC">
        <w:t xml:space="preserve">In 2021, the State of Montana </w:t>
      </w:r>
      <w:r w:rsidR="00C24714">
        <w:t xml:space="preserve">issued guidance regarding manganese setting a health-based guideline of 0.1 mg/L for children </w:t>
      </w:r>
      <w:r w:rsidR="00112103">
        <w:t>age</w:t>
      </w:r>
      <w:r w:rsidR="000665C2">
        <w:t>s</w:t>
      </w:r>
      <w:r w:rsidR="00C24714">
        <w:t xml:space="preserve"> 6 and under. </w:t>
      </w:r>
      <w:r w:rsidR="00112103">
        <w:t>Based upon this history, p</w:t>
      </w:r>
      <w:r>
        <w:t xml:space="preserve">rojects to address drinking water sources that have manganese concentrations above the </w:t>
      </w:r>
      <w:r w:rsidR="00C24714">
        <w:t>secondary standard</w:t>
      </w:r>
      <w:r>
        <w:t xml:space="preserve"> of 0.</w:t>
      </w:r>
      <w:r w:rsidR="00C24714">
        <w:t xml:space="preserve">05 </w:t>
      </w:r>
      <w:r>
        <w:t xml:space="preserve">mg/L will receive </w:t>
      </w:r>
      <w:r w:rsidR="00D34548">
        <w:t>4</w:t>
      </w:r>
      <w:r>
        <w:t xml:space="preserve">0 points.    </w:t>
      </w:r>
    </w:p>
    <w:p w14:paraId="1596E376" w14:textId="77777777" w:rsidR="007F2189" w:rsidRDefault="007F2189" w:rsidP="004938F4">
      <w:pPr>
        <w:ind w:left="720"/>
      </w:pPr>
    </w:p>
    <w:p w14:paraId="1F2ABC39" w14:textId="46A285E1" w:rsidR="00466A8E" w:rsidRPr="003E5D49" w:rsidRDefault="00466A8E" w:rsidP="007B5E40">
      <w:pPr>
        <w:pStyle w:val="ListParagraph"/>
        <w:numPr>
          <w:ilvl w:val="0"/>
          <w:numId w:val="5"/>
        </w:numPr>
        <w:spacing w:after="120"/>
        <w:rPr>
          <w:b/>
        </w:rPr>
      </w:pPr>
      <w:r>
        <w:rPr>
          <w:b/>
        </w:rPr>
        <w:t xml:space="preserve">Emerging </w:t>
      </w:r>
      <w:r w:rsidR="00C24714">
        <w:rPr>
          <w:b/>
        </w:rPr>
        <w:t>c</w:t>
      </w:r>
      <w:r w:rsidRPr="00105210">
        <w:rPr>
          <w:b/>
        </w:rPr>
        <w:t>ontaminants</w:t>
      </w:r>
      <w:r w:rsidR="007B5E40">
        <w:rPr>
          <w:b/>
        </w:rPr>
        <w:t>,</w:t>
      </w:r>
      <w:r w:rsidRPr="00105210">
        <w:rPr>
          <w:b/>
        </w:rPr>
        <w:t xml:space="preserve"> </w:t>
      </w:r>
      <w:r w:rsidR="00C24714">
        <w:rPr>
          <w:b/>
        </w:rPr>
        <w:t>other than manganese</w:t>
      </w:r>
      <w:r w:rsidR="007B5E40">
        <w:rPr>
          <w:b/>
        </w:rPr>
        <w:t>,</w:t>
      </w:r>
      <w:r w:rsidR="00C24714">
        <w:rPr>
          <w:b/>
        </w:rPr>
        <w:t xml:space="preserve"> </w:t>
      </w:r>
      <w:r>
        <w:rPr>
          <w:b/>
        </w:rPr>
        <w:t>that exceed</w:t>
      </w:r>
      <w:r w:rsidRPr="00105210">
        <w:rPr>
          <w:b/>
        </w:rPr>
        <w:t xml:space="preserve"> </w:t>
      </w:r>
      <w:r>
        <w:rPr>
          <w:b/>
        </w:rPr>
        <w:t>the s</w:t>
      </w:r>
      <w:r w:rsidRPr="00105210">
        <w:rPr>
          <w:b/>
        </w:rPr>
        <w:t xml:space="preserve">econdary </w:t>
      </w:r>
      <w:r>
        <w:rPr>
          <w:b/>
        </w:rPr>
        <w:t>standard</w:t>
      </w:r>
      <w:r w:rsidRPr="00105210">
        <w:rPr>
          <w:b/>
        </w:rPr>
        <w:t xml:space="preserve">, </w:t>
      </w:r>
      <w:r>
        <w:rPr>
          <w:b/>
        </w:rPr>
        <w:t>h</w:t>
      </w:r>
      <w:r w:rsidRPr="00105210">
        <w:rPr>
          <w:b/>
        </w:rPr>
        <w:t xml:space="preserve">ealth </w:t>
      </w:r>
      <w:r>
        <w:rPr>
          <w:b/>
        </w:rPr>
        <w:t>a</w:t>
      </w:r>
      <w:r w:rsidRPr="00105210">
        <w:rPr>
          <w:b/>
        </w:rPr>
        <w:t xml:space="preserve">dvisory, or </w:t>
      </w:r>
      <w:r>
        <w:rPr>
          <w:b/>
        </w:rPr>
        <w:t>s</w:t>
      </w:r>
      <w:r w:rsidRPr="00105210">
        <w:rPr>
          <w:b/>
        </w:rPr>
        <w:t>tate</w:t>
      </w:r>
      <w:r>
        <w:rPr>
          <w:b/>
        </w:rPr>
        <w:t>-s</w:t>
      </w:r>
      <w:r w:rsidRPr="00105210">
        <w:rPr>
          <w:b/>
        </w:rPr>
        <w:t xml:space="preserve">pecific </w:t>
      </w:r>
      <w:r>
        <w:rPr>
          <w:b/>
        </w:rPr>
        <w:t>standard</w:t>
      </w:r>
      <w:r w:rsidRPr="00105210">
        <w:rPr>
          <w:b/>
        </w:rPr>
        <w:t xml:space="preserve"> - </w:t>
      </w:r>
      <w:r>
        <w:rPr>
          <w:b/>
        </w:rPr>
        <w:t>10</w:t>
      </w:r>
      <w:r w:rsidRPr="00105210">
        <w:rPr>
          <w:b/>
        </w:rPr>
        <w:t xml:space="preserve"> points</w:t>
      </w:r>
    </w:p>
    <w:p w14:paraId="669D4D9A" w14:textId="3F0FC63C" w:rsidR="00466A8E" w:rsidRDefault="00466A8E" w:rsidP="00466A8E">
      <w:pPr>
        <w:ind w:left="720"/>
      </w:pPr>
      <w:r>
        <w:t xml:space="preserve">Maximum points are awarded if the EC </w:t>
      </w:r>
      <w:r w:rsidR="00E1204A">
        <w:t>(CCL</w:t>
      </w:r>
      <w:r w:rsidR="000A401A">
        <w:t>s</w:t>
      </w:r>
      <w:r w:rsidR="00E1204A">
        <w:t xml:space="preserve"> 1 - 5) being addressed by the project (</w:t>
      </w:r>
      <w:r w:rsidR="00031600">
        <w:t>other than manganese</w:t>
      </w:r>
      <w:r w:rsidR="00E1204A">
        <w:t>)</w:t>
      </w:r>
      <w:r w:rsidR="00031600">
        <w:t xml:space="preserve"> </w:t>
      </w:r>
      <w:r>
        <w:t xml:space="preserve">has a concentration above the secondary standard (i.e., </w:t>
      </w:r>
      <w:r w:rsidR="00245700">
        <w:t>SMCL</w:t>
      </w:r>
      <w:r>
        <w:t>), health advisory, or state-specific standard</w:t>
      </w:r>
      <w:r w:rsidR="005111F7">
        <w:t>, as applicable</w:t>
      </w:r>
      <w:r>
        <w:t xml:space="preserve">.      </w:t>
      </w:r>
    </w:p>
    <w:bookmarkEnd w:id="131"/>
    <w:p w14:paraId="3475B405" w14:textId="3BB6ED3B" w:rsidR="004938F4" w:rsidRDefault="004938F4" w:rsidP="004938F4">
      <w:pPr>
        <w:ind w:left="720"/>
      </w:pPr>
    </w:p>
    <w:p w14:paraId="6D392B8E" w14:textId="75EDD628" w:rsidR="00466A8E" w:rsidRPr="003E5D49" w:rsidRDefault="00C24714" w:rsidP="007B5E40">
      <w:pPr>
        <w:pStyle w:val="ListParagraph"/>
        <w:numPr>
          <w:ilvl w:val="0"/>
          <w:numId w:val="5"/>
        </w:numPr>
        <w:spacing w:after="120"/>
        <w:rPr>
          <w:b/>
        </w:rPr>
      </w:pPr>
      <w:r>
        <w:rPr>
          <w:b/>
        </w:rPr>
        <w:t>Known e</w:t>
      </w:r>
      <w:r w:rsidR="00466A8E">
        <w:rPr>
          <w:b/>
        </w:rPr>
        <w:t xml:space="preserve">merging </w:t>
      </w:r>
      <w:r>
        <w:rPr>
          <w:b/>
        </w:rPr>
        <w:t>c</w:t>
      </w:r>
      <w:r w:rsidR="00466A8E" w:rsidRPr="00105210">
        <w:rPr>
          <w:b/>
        </w:rPr>
        <w:t xml:space="preserve">ontaminant - </w:t>
      </w:r>
      <w:r w:rsidR="00466A8E">
        <w:rPr>
          <w:b/>
        </w:rPr>
        <w:t>5</w:t>
      </w:r>
      <w:r w:rsidR="00466A8E" w:rsidRPr="00105210">
        <w:rPr>
          <w:b/>
        </w:rPr>
        <w:t xml:space="preserve"> points</w:t>
      </w:r>
    </w:p>
    <w:p w14:paraId="15440DBE" w14:textId="5B34B3F4" w:rsidR="00466A8E" w:rsidRDefault="00E1204A" w:rsidP="00466A8E">
      <w:pPr>
        <w:ind w:left="720"/>
      </w:pPr>
      <w:r>
        <w:t>A project that is addressing</w:t>
      </w:r>
      <w:r w:rsidR="00C24714">
        <w:t xml:space="preserve"> an EC (CCL</w:t>
      </w:r>
      <w:r w:rsidR="000A401A">
        <w:t>s</w:t>
      </w:r>
      <w:r w:rsidR="00C24714">
        <w:t xml:space="preserve"> 1 – 5) that do</w:t>
      </w:r>
      <w:r>
        <w:t>es</w:t>
      </w:r>
      <w:r w:rsidR="00C24714">
        <w:t xml:space="preserve"> not fall into </w:t>
      </w:r>
      <w:r>
        <w:t xml:space="preserve">any of </w:t>
      </w:r>
      <w:r w:rsidR="00C24714">
        <w:t xml:space="preserve">the </w:t>
      </w:r>
      <w:r>
        <w:t>other</w:t>
      </w:r>
      <w:r w:rsidR="00C24714">
        <w:t xml:space="preserve"> </w:t>
      </w:r>
      <w:r>
        <w:t xml:space="preserve">EC Priority Type </w:t>
      </w:r>
      <w:r w:rsidR="00C24714">
        <w:t xml:space="preserve">categories </w:t>
      </w:r>
      <w:r w:rsidR="00655877">
        <w:t xml:space="preserve">above </w:t>
      </w:r>
      <w:r w:rsidR="00C24714">
        <w:t>will receive 5 points</w:t>
      </w:r>
      <w:r w:rsidR="00466A8E">
        <w:t xml:space="preserve">.      </w:t>
      </w:r>
    </w:p>
    <w:p w14:paraId="386204DF" w14:textId="77777777" w:rsidR="00410B53" w:rsidRDefault="00410B53" w:rsidP="00D64C73"/>
    <w:p w14:paraId="00B4236A" w14:textId="71C5339A" w:rsidR="0037352A" w:rsidRDefault="0037352A" w:rsidP="0037352A">
      <w:pPr>
        <w:pStyle w:val="ListParagraph"/>
        <w:numPr>
          <w:ilvl w:val="0"/>
          <w:numId w:val="1"/>
        </w:numPr>
        <w:rPr>
          <w:b/>
        </w:rPr>
      </w:pPr>
      <w:r>
        <w:rPr>
          <w:b/>
        </w:rPr>
        <w:t>Disadvantaged Community Status</w:t>
      </w:r>
      <w:r w:rsidRPr="00115061">
        <w:rPr>
          <w:b/>
        </w:rPr>
        <w:t xml:space="preserve"> </w:t>
      </w:r>
      <w:r>
        <w:rPr>
          <w:b/>
        </w:rPr>
        <w:t>–</w:t>
      </w:r>
      <w:r w:rsidRPr="00115061">
        <w:rPr>
          <w:b/>
        </w:rPr>
        <w:t xml:space="preserve"> </w:t>
      </w:r>
      <w:r w:rsidR="00466A8E">
        <w:rPr>
          <w:b/>
        </w:rPr>
        <w:t xml:space="preserve">30 </w:t>
      </w:r>
      <w:r>
        <w:rPr>
          <w:b/>
        </w:rPr>
        <w:t xml:space="preserve">points </w:t>
      </w:r>
    </w:p>
    <w:p w14:paraId="155BBC0C" w14:textId="307CF89E" w:rsidR="0037352A" w:rsidRPr="006D3B1F" w:rsidRDefault="0037352A" w:rsidP="00E45F2F">
      <w:pPr>
        <w:spacing w:before="91"/>
        <w:ind w:left="720"/>
      </w:pPr>
      <w:r>
        <w:t>Maximum points are awarded to a community if the community</w:t>
      </w:r>
      <w:r w:rsidR="007C6BC7">
        <w:t>,</w:t>
      </w:r>
      <w:r>
        <w:t xml:space="preserve"> or a specific area in the community where </w:t>
      </w:r>
      <w:r w:rsidR="00BB6CB4">
        <w:t>construction for the project is taking place</w:t>
      </w:r>
      <w:r w:rsidR="007C6BC7">
        <w:t>,</w:t>
      </w:r>
      <w:r w:rsidRPr="005A3B66">
        <w:t xml:space="preserve"> </w:t>
      </w:r>
      <w:r w:rsidRPr="006D3B1F">
        <w:t>meets the state criteria for being disadvantaged</w:t>
      </w:r>
      <w:r>
        <w:t xml:space="preserve"> as discussed in Section </w:t>
      </w:r>
      <w:r w:rsidR="00D554F0">
        <w:t>6.0.</w:t>
      </w:r>
    </w:p>
    <w:p w14:paraId="1A435A9A" w14:textId="77777777" w:rsidR="004938F4" w:rsidRPr="004938F4" w:rsidRDefault="004938F4" w:rsidP="004938F4">
      <w:pPr>
        <w:ind w:left="360"/>
        <w:rPr>
          <w:b/>
        </w:rPr>
      </w:pPr>
    </w:p>
    <w:p w14:paraId="3939C89A" w14:textId="5C187E82" w:rsidR="00410B53" w:rsidRPr="003E5D49" w:rsidRDefault="004938F4" w:rsidP="00B62117">
      <w:pPr>
        <w:pStyle w:val="ListParagraph"/>
        <w:numPr>
          <w:ilvl w:val="0"/>
          <w:numId w:val="3"/>
        </w:numPr>
        <w:rPr>
          <w:b/>
        </w:rPr>
      </w:pPr>
      <w:r>
        <w:rPr>
          <w:b/>
        </w:rPr>
        <w:t xml:space="preserve">Readiness to Proceed – 30 points </w:t>
      </w:r>
    </w:p>
    <w:p w14:paraId="37756CB9" w14:textId="5B5733BE" w:rsidR="00162C36" w:rsidRDefault="00162C36" w:rsidP="00E45F2F">
      <w:pPr>
        <w:spacing w:before="91"/>
        <w:ind w:left="720"/>
        <w:rPr>
          <w:iCs/>
        </w:rPr>
      </w:pPr>
      <w:r w:rsidRPr="006D3B1F">
        <w:rPr>
          <w:iCs/>
        </w:rPr>
        <w:t xml:space="preserve">Maximum points are awarded if the project plans and specifications have been approved by DEQ or the project is scheduled to start </w:t>
      </w:r>
      <w:r>
        <w:rPr>
          <w:iCs/>
        </w:rPr>
        <w:t>within</w:t>
      </w:r>
      <w:r w:rsidRPr="006D3B1F">
        <w:rPr>
          <w:iCs/>
        </w:rPr>
        <w:t xml:space="preserve"> the next </w:t>
      </w:r>
      <w:r w:rsidR="00D956F2">
        <w:rPr>
          <w:iCs/>
        </w:rPr>
        <w:t>18</w:t>
      </w:r>
      <w:r w:rsidRPr="006D3B1F">
        <w:rPr>
          <w:iCs/>
        </w:rPr>
        <w:t xml:space="preserve"> months. </w:t>
      </w:r>
    </w:p>
    <w:p w14:paraId="22583E60" w14:textId="77777777" w:rsidR="00990799" w:rsidRDefault="00990799" w:rsidP="00E45F2F">
      <w:pPr>
        <w:spacing w:before="91"/>
        <w:ind w:left="720"/>
        <w:rPr>
          <w:iCs/>
        </w:rPr>
      </w:pPr>
    </w:p>
    <w:p w14:paraId="559D9F74" w14:textId="77777777" w:rsidR="00990799" w:rsidRDefault="00990799" w:rsidP="00990799">
      <w:pPr>
        <w:pStyle w:val="ListParagraph"/>
        <w:numPr>
          <w:ilvl w:val="0"/>
          <w:numId w:val="8"/>
        </w:numPr>
        <w:rPr>
          <w:b/>
          <w:bCs/>
        </w:rPr>
      </w:pPr>
      <w:bookmarkStart w:id="132" w:name="_Hlk193194975"/>
      <w:r w:rsidRPr="00990799">
        <w:rPr>
          <w:b/>
          <w:bCs/>
        </w:rPr>
        <w:lastRenderedPageBreak/>
        <w:t>Closed on an engineering loan, under contract, or in construction – 60 points</w:t>
      </w:r>
    </w:p>
    <w:p w14:paraId="06029298" w14:textId="29DD388A" w:rsidR="00990799" w:rsidRPr="00990799" w:rsidRDefault="00990799" w:rsidP="00724574">
      <w:pPr>
        <w:spacing w:before="91"/>
        <w:ind w:left="720"/>
      </w:pPr>
      <w:r w:rsidRPr="00724574">
        <w:t>Maximum points are</w:t>
      </w:r>
      <w:r w:rsidRPr="006D3B1F">
        <w:rPr>
          <w:iCs/>
        </w:rPr>
        <w:t xml:space="preserve"> awarded if the project</w:t>
      </w:r>
      <w:r>
        <w:rPr>
          <w:iCs/>
        </w:rPr>
        <w:t xml:space="preserve"> has closed on an engineering loan, is under contract, or is in construction but has not closed on a</w:t>
      </w:r>
      <w:r w:rsidR="005C0A1E">
        <w:rPr>
          <w:iCs/>
        </w:rPr>
        <w:t>n</w:t>
      </w:r>
      <w:r>
        <w:rPr>
          <w:iCs/>
        </w:rPr>
        <w:t xml:space="preserve"> </w:t>
      </w:r>
      <w:r w:rsidR="005C0A1E">
        <w:rPr>
          <w:iCs/>
        </w:rPr>
        <w:t xml:space="preserve">EC </w:t>
      </w:r>
      <w:r>
        <w:rPr>
          <w:iCs/>
        </w:rPr>
        <w:t xml:space="preserve">loan. </w:t>
      </w:r>
      <w:r w:rsidRPr="00990799">
        <w:rPr>
          <w:iCs/>
        </w:rPr>
        <w:t xml:space="preserve">Note, if points </w:t>
      </w:r>
      <w:r w:rsidR="00D91AA1">
        <w:rPr>
          <w:iCs/>
        </w:rPr>
        <w:t>were</w:t>
      </w:r>
      <w:r w:rsidRPr="00990799">
        <w:rPr>
          <w:iCs/>
        </w:rPr>
        <w:t xml:space="preserve"> awarded for this criterion, </w:t>
      </w:r>
      <w:r w:rsidR="00781238">
        <w:rPr>
          <w:iCs/>
        </w:rPr>
        <w:t>points</w:t>
      </w:r>
      <w:r w:rsidRPr="00990799">
        <w:rPr>
          <w:iCs/>
        </w:rPr>
        <w:t xml:space="preserve"> </w:t>
      </w:r>
      <w:r w:rsidR="00D91AA1">
        <w:rPr>
          <w:iCs/>
        </w:rPr>
        <w:t>were not</w:t>
      </w:r>
      <w:r w:rsidRPr="00990799">
        <w:rPr>
          <w:iCs/>
        </w:rPr>
        <w:t xml:space="preserve"> awarded for criterion #3, Readiness to Proceed.</w:t>
      </w:r>
    </w:p>
    <w:bookmarkEnd w:id="132"/>
    <w:p w14:paraId="215CF570" w14:textId="77777777" w:rsidR="00990799" w:rsidRPr="00990799" w:rsidRDefault="00990799" w:rsidP="00990799">
      <w:pPr>
        <w:rPr>
          <w:b/>
          <w:bCs/>
        </w:rPr>
      </w:pPr>
    </w:p>
    <w:p w14:paraId="6F967E77" w14:textId="4609FBF0" w:rsidR="00410B53" w:rsidRPr="00115061" w:rsidRDefault="00410B53" w:rsidP="00B62117">
      <w:pPr>
        <w:pStyle w:val="ListParagraph"/>
        <w:numPr>
          <w:ilvl w:val="0"/>
          <w:numId w:val="8"/>
        </w:numPr>
        <w:rPr>
          <w:b/>
        </w:rPr>
      </w:pPr>
      <w:r w:rsidRPr="00115061">
        <w:rPr>
          <w:b/>
        </w:rPr>
        <w:t xml:space="preserve">Construction of a regional public water supply that would serve two or more existing public water supplies - </w:t>
      </w:r>
      <w:r w:rsidR="00112103">
        <w:rPr>
          <w:b/>
        </w:rPr>
        <w:t>1</w:t>
      </w:r>
      <w:r w:rsidR="00112103" w:rsidRPr="00115061">
        <w:rPr>
          <w:b/>
        </w:rPr>
        <w:t xml:space="preserve">0 </w:t>
      </w:r>
      <w:r w:rsidRPr="00115061">
        <w:rPr>
          <w:b/>
        </w:rPr>
        <w:t>points.</w:t>
      </w:r>
    </w:p>
    <w:p w14:paraId="3EA8967D" w14:textId="10B5277A" w:rsidR="00410B53" w:rsidRDefault="00410B53" w:rsidP="00724574">
      <w:pPr>
        <w:spacing w:before="91"/>
        <w:ind w:left="720"/>
      </w:pPr>
      <w:r>
        <w:t>Regionalization would increase the technical, managerial and/or financial capacity of the overall system</w:t>
      </w:r>
      <w:r w:rsidR="004938F4">
        <w:t xml:space="preserve"> and</w:t>
      </w:r>
      <w:r>
        <w:t xml:space="preserve"> would result in some improvement to public health</w:t>
      </w:r>
      <w:r w:rsidR="004938F4">
        <w:t xml:space="preserve"> when ECs are addressed</w:t>
      </w:r>
      <w:r>
        <w:t>.</w:t>
      </w:r>
    </w:p>
    <w:p w14:paraId="64A2133F" w14:textId="77777777" w:rsidR="00410B53" w:rsidRPr="00D64C73" w:rsidRDefault="00410B53" w:rsidP="00D64C73"/>
    <w:p w14:paraId="629A8A1E" w14:textId="77777777" w:rsidR="00410B53" w:rsidRPr="00BB465C" w:rsidRDefault="00C43370" w:rsidP="00BB465C">
      <w:pPr>
        <w:spacing w:after="120"/>
        <w:rPr>
          <w:b/>
          <w:bCs/>
          <w:sz w:val="32"/>
          <w:szCs w:val="32"/>
        </w:rPr>
      </w:pPr>
      <w:bookmarkStart w:id="133" w:name="_Toc136072124"/>
      <w:bookmarkStart w:id="134" w:name="_Toc387672765"/>
      <w:bookmarkStart w:id="135" w:name="_Toc389210536"/>
      <w:bookmarkStart w:id="136" w:name="_Toc392060777"/>
      <w:bookmarkStart w:id="137" w:name="_Toc44056432"/>
      <w:r w:rsidRPr="00BB465C">
        <w:rPr>
          <w:b/>
          <w:bCs/>
          <w:sz w:val="32"/>
          <w:szCs w:val="32"/>
        </w:rPr>
        <w:t>DW</w:t>
      </w:r>
      <w:r w:rsidR="00410B53" w:rsidRPr="00BB465C">
        <w:rPr>
          <w:b/>
          <w:bCs/>
          <w:sz w:val="32"/>
          <w:szCs w:val="32"/>
        </w:rPr>
        <w:t xml:space="preserve">SRF Priority List Bypass </w:t>
      </w:r>
      <w:r w:rsidR="00C43FA4" w:rsidRPr="00BB465C">
        <w:rPr>
          <w:b/>
          <w:bCs/>
          <w:sz w:val="32"/>
          <w:szCs w:val="32"/>
        </w:rPr>
        <w:t>P</w:t>
      </w:r>
      <w:r w:rsidR="00410B53" w:rsidRPr="00BB465C">
        <w:rPr>
          <w:b/>
          <w:bCs/>
          <w:sz w:val="32"/>
          <w:szCs w:val="32"/>
        </w:rPr>
        <w:t>rocedures</w:t>
      </w:r>
      <w:bookmarkEnd w:id="133"/>
      <w:bookmarkEnd w:id="134"/>
      <w:bookmarkEnd w:id="135"/>
      <w:bookmarkEnd w:id="136"/>
      <w:bookmarkEnd w:id="137"/>
    </w:p>
    <w:p w14:paraId="5DB1975C" w14:textId="77777777" w:rsidR="00410B53" w:rsidRDefault="00410B53" w:rsidP="00C43FA4">
      <w:r>
        <w:t xml:space="preserve">If it is determined by DEQ that a project or projects are not ready to proceed or that the project sponsors have chosen not to use the </w:t>
      </w:r>
      <w:r w:rsidR="00C43370">
        <w:t>DW</w:t>
      </w:r>
      <w:r>
        <w:t>SRF funds, other projects may be funded in an order different from that indicated on the priority list.</w:t>
      </w:r>
      <w:r w:rsidR="00B41BF0">
        <w:t xml:space="preserve"> </w:t>
      </w:r>
      <w:r>
        <w:t>If DEQ chooses to bypass higher ranked projects, it should follow the bypass procedure.</w:t>
      </w:r>
    </w:p>
    <w:p w14:paraId="010884EF" w14:textId="77777777" w:rsidR="00410B53" w:rsidRPr="00C43FA4" w:rsidRDefault="00410B53" w:rsidP="00C43FA4"/>
    <w:p w14:paraId="3EE07681" w14:textId="77777777" w:rsidR="00410B53" w:rsidRDefault="00410B53" w:rsidP="00C43FA4">
      <w:r>
        <w:t>The bypass procedure is as follows:</w:t>
      </w:r>
    </w:p>
    <w:p w14:paraId="442EF6C0" w14:textId="77777777" w:rsidR="00410B53" w:rsidRPr="00D64C73" w:rsidRDefault="00410B53" w:rsidP="00D64C73"/>
    <w:p w14:paraId="58BCF86B" w14:textId="65276CAF" w:rsidR="00C43FA4" w:rsidRDefault="00410B53" w:rsidP="00B62117">
      <w:pPr>
        <w:pStyle w:val="ListParagraph"/>
        <w:numPr>
          <w:ilvl w:val="0"/>
          <w:numId w:val="10"/>
        </w:numPr>
      </w:pPr>
      <w:r>
        <w:t xml:space="preserve">DEQ shall notify all projects which are ranked higher than the proposed project on the </w:t>
      </w:r>
      <w:r w:rsidR="00C43370">
        <w:t>DW</w:t>
      </w:r>
      <w:r>
        <w:t xml:space="preserve">SRF priority </w:t>
      </w:r>
      <w:r w:rsidR="00505FF2">
        <w:t>list unless</w:t>
      </w:r>
      <w:r>
        <w:t xml:space="preserve"> it is known that a higher project will not be using </w:t>
      </w:r>
      <w:r w:rsidR="00C43370">
        <w:t>DW</w:t>
      </w:r>
      <w:r>
        <w:t>SRF funds.</w:t>
      </w:r>
    </w:p>
    <w:p w14:paraId="64930473" w14:textId="7C97D94F" w:rsidR="00C43FA4" w:rsidRDefault="00410B53" w:rsidP="00B62117">
      <w:pPr>
        <w:pStyle w:val="ListParagraph"/>
        <w:numPr>
          <w:ilvl w:val="0"/>
          <w:numId w:val="10"/>
        </w:numPr>
      </w:pPr>
      <w:r>
        <w:t xml:space="preserve">The </w:t>
      </w:r>
      <w:r w:rsidRPr="00C43FA4">
        <w:t>notified</w:t>
      </w:r>
      <w:r>
        <w:t xml:space="preserve"> water systems shall have 15 calendar days to respond with any objections they may have to the funding of the lower ranked project.</w:t>
      </w:r>
    </w:p>
    <w:p w14:paraId="771E98F9" w14:textId="77777777" w:rsidR="00410B53" w:rsidRDefault="00410B53" w:rsidP="00B62117">
      <w:pPr>
        <w:pStyle w:val="ListParagraph"/>
        <w:numPr>
          <w:ilvl w:val="0"/>
          <w:numId w:val="10"/>
        </w:numPr>
      </w:pPr>
      <w:r>
        <w:t xml:space="preserve">DEQ </w:t>
      </w:r>
      <w:r w:rsidRPr="00C43FA4">
        <w:t>shall</w:t>
      </w:r>
      <w:r>
        <w:t xml:space="preserve"> address, within a reasonable </w:t>
      </w:r>
      <w:proofErr w:type="gramStart"/>
      <w:r>
        <w:t>time period</w:t>
      </w:r>
      <w:proofErr w:type="gramEnd"/>
      <w:r>
        <w:t>, any objections received.</w:t>
      </w:r>
    </w:p>
    <w:p w14:paraId="6BDF898E" w14:textId="77777777" w:rsidR="00635BDB" w:rsidRDefault="00635BDB" w:rsidP="00635BDB">
      <w:pPr>
        <w:pStyle w:val="ListParagraph"/>
      </w:pPr>
    </w:p>
    <w:p w14:paraId="79AD0B96" w14:textId="77777777" w:rsidR="00410B53" w:rsidRPr="00043B93" w:rsidRDefault="00410B53" w:rsidP="00BB465C">
      <w:pPr>
        <w:spacing w:after="120"/>
        <w:rPr>
          <w:b/>
          <w:bCs/>
          <w:sz w:val="28"/>
          <w:szCs w:val="28"/>
        </w:rPr>
      </w:pPr>
      <w:bookmarkStart w:id="138" w:name="_Toc136072125"/>
      <w:bookmarkStart w:id="139" w:name="_Toc387672766"/>
      <w:bookmarkStart w:id="140" w:name="_Toc389210537"/>
      <w:bookmarkStart w:id="141" w:name="_Toc392060778"/>
      <w:bookmarkStart w:id="142" w:name="_Toc44056433"/>
      <w:r w:rsidRPr="00043B93">
        <w:rPr>
          <w:b/>
          <w:bCs/>
          <w:sz w:val="28"/>
          <w:szCs w:val="28"/>
        </w:rPr>
        <w:t xml:space="preserve">Emergency </w:t>
      </w:r>
      <w:r w:rsidR="00C43FA4" w:rsidRPr="00043B93">
        <w:rPr>
          <w:b/>
          <w:bCs/>
          <w:sz w:val="28"/>
          <w:szCs w:val="28"/>
        </w:rPr>
        <w:t>B</w:t>
      </w:r>
      <w:r w:rsidRPr="00043B93">
        <w:rPr>
          <w:b/>
          <w:bCs/>
          <w:sz w:val="28"/>
          <w:szCs w:val="28"/>
        </w:rPr>
        <w:t xml:space="preserve">ypass </w:t>
      </w:r>
      <w:r w:rsidR="00C43FA4" w:rsidRPr="00043B93">
        <w:rPr>
          <w:b/>
          <w:bCs/>
          <w:sz w:val="28"/>
          <w:szCs w:val="28"/>
        </w:rPr>
        <w:t>P</w:t>
      </w:r>
      <w:r w:rsidRPr="00043B93">
        <w:rPr>
          <w:b/>
          <w:bCs/>
          <w:sz w:val="28"/>
          <w:szCs w:val="28"/>
        </w:rPr>
        <w:t>rocedures</w:t>
      </w:r>
      <w:bookmarkEnd w:id="138"/>
      <w:bookmarkEnd w:id="139"/>
      <w:bookmarkEnd w:id="140"/>
      <w:bookmarkEnd w:id="141"/>
      <w:bookmarkEnd w:id="142"/>
    </w:p>
    <w:p w14:paraId="7EA27532" w14:textId="1C06DA4B" w:rsidR="00CE7417" w:rsidRDefault="00410B53" w:rsidP="00C43FA4">
      <w:r>
        <w:t xml:space="preserve">If DEQ determines that immediate attention to an unanticipated failure is required to protect public health, a project may be funded with </w:t>
      </w:r>
      <w:r w:rsidR="00C43370">
        <w:t>DW</w:t>
      </w:r>
      <w:r>
        <w:t xml:space="preserve">SRF funds </w:t>
      </w:r>
      <w:proofErr w:type="gramStart"/>
      <w:r w:rsidR="00CB5EFC">
        <w:t>whether</w:t>
      </w:r>
      <w:r w:rsidR="00A060F9">
        <w:t xml:space="preserve"> or not</w:t>
      </w:r>
      <w:proofErr w:type="gramEnd"/>
      <w:r>
        <w:t xml:space="preserve"> the project is on the </w:t>
      </w:r>
      <w:r w:rsidR="00C43370">
        <w:t>DW</w:t>
      </w:r>
      <w:r>
        <w:t xml:space="preserve">SRF priority list. DEQ will not be required to solicit comments from other projects on the priority list regarding </w:t>
      </w:r>
      <w:r w:rsidR="00505FF2">
        <w:t>emergency</w:t>
      </w:r>
      <w:r>
        <w:t xml:space="preserve"> funding.</w:t>
      </w:r>
    </w:p>
    <w:p w14:paraId="3976FB2C" w14:textId="77777777" w:rsidR="00BB44D6" w:rsidRDefault="00BB44D6" w:rsidP="00C43FA4">
      <w:pPr>
        <w:sectPr w:rsidR="00BB44D6" w:rsidSect="00E72B9E">
          <w:headerReference w:type="default" r:id="rId29"/>
          <w:footerReference w:type="default" r:id="rId30"/>
          <w:pgSz w:w="12240" w:h="15840" w:code="1"/>
          <w:pgMar w:top="1440" w:right="1440" w:bottom="1440" w:left="1440" w:header="720" w:footer="720" w:gutter="0"/>
          <w:pgNumType w:start="1"/>
          <w:cols w:space="720"/>
          <w:noEndnote/>
          <w:docGrid w:linePitch="299"/>
        </w:sectPr>
      </w:pPr>
    </w:p>
    <w:p w14:paraId="0C8929AD" w14:textId="459D88FD" w:rsidR="00F8047B" w:rsidRDefault="00F8047B" w:rsidP="00C13F7E">
      <w:pPr>
        <w:pStyle w:val="Heading1"/>
        <w:numPr>
          <w:ilvl w:val="0"/>
          <w:numId w:val="0"/>
        </w:numPr>
        <w:jc w:val="center"/>
        <w:rPr>
          <w:sz w:val="34"/>
          <w:szCs w:val="34"/>
        </w:rPr>
      </w:pPr>
      <w:bookmarkStart w:id="143" w:name="_Toc44056434"/>
      <w:bookmarkStart w:id="144" w:name="_Toc106021872"/>
      <w:bookmarkStart w:id="145" w:name="_Toc135225433"/>
      <w:bookmarkStart w:id="146" w:name="_Toc163819439"/>
      <w:bookmarkStart w:id="147" w:name="_Toc167092838"/>
      <w:bookmarkStart w:id="148" w:name="_Toc194928417"/>
      <w:bookmarkStart w:id="149" w:name="_Toc198296026"/>
      <w:bookmarkStart w:id="150" w:name="_Toc202277680"/>
      <w:bookmarkStart w:id="151" w:name="_Toc230351786"/>
      <w:bookmarkStart w:id="152" w:name="_Toc387672768"/>
      <w:r w:rsidRPr="00C13F7E">
        <w:rPr>
          <w:sz w:val="34"/>
          <w:szCs w:val="34"/>
        </w:rPr>
        <w:lastRenderedPageBreak/>
        <w:t xml:space="preserve">APPENDIX 2: </w:t>
      </w:r>
      <w:bookmarkStart w:id="153" w:name="_Hlk135220216"/>
      <w:r w:rsidRPr="00C13F7E">
        <w:rPr>
          <w:sz w:val="34"/>
          <w:szCs w:val="34"/>
        </w:rPr>
        <w:t xml:space="preserve">DWSRF </w:t>
      </w:r>
      <w:r w:rsidR="00CF526C">
        <w:rPr>
          <w:sz w:val="34"/>
          <w:szCs w:val="34"/>
        </w:rPr>
        <w:t xml:space="preserve">EC </w:t>
      </w:r>
      <w:r w:rsidRPr="00C13F7E">
        <w:rPr>
          <w:sz w:val="34"/>
          <w:szCs w:val="34"/>
        </w:rPr>
        <w:t>COM</w:t>
      </w:r>
      <w:r w:rsidR="00EB382D" w:rsidRPr="00C13F7E">
        <w:rPr>
          <w:sz w:val="34"/>
          <w:szCs w:val="34"/>
        </w:rPr>
        <w:t xml:space="preserve">PREHENSIVE PROJECT </w:t>
      </w:r>
      <w:r w:rsidR="00AF2D02" w:rsidRPr="00C13F7E">
        <w:rPr>
          <w:sz w:val="34"/>
          <w:szCs w:val="34"/>
        </w:rPr>
        <w:t xml:space="preserve">LIST—SFY </w:t>
      </w:r>
      <w:bookmarkEnd w:id="143"/>
      <w:bookmarkEnd w:id="144"/>
      <w:bookmarkEnd w:id="145"/>
      <w:bookmarkEnd w:id="146"/>
      <w:bookmarkEnd w:id="147"/>
      <w:bookmarkEnd w:id="148"/>
      <w:bookmarkEnd w:id="149"/>
      <w:bookmarkEnd w:id="150"/>
      <w:bookmarkEnd w:id="153"/>
      <w:r w:rsidR="00F231DF">
        <w:rPr>
          <w:sz w:val="34"/>
          <w:szCs w:val="34"/>
        </w:rPr>
        <w:t>2027</w:t>
      </w:r>
      <w:bookmarkEnd w:id="151"/>
    </w:p>
    <w:p w14:paraId="5DF3AFA2" w14:textId="77777777" w:rsidR="00D44BE6" w:rsidRPr="00D44BE6" w:rsidRDefault="00D44BE6" w:rsidP="00D44BE6"/>
    <w:p w14:paraId="333B8E25" w14:textId="1B6C1432" w:rsidR="00CF526C" w:rsidRDefault="00F231DF" w:rsidP="00786B32">
      <w:pPr>
        <w:jc w:val="center"/>
      </w:pPr>
      <w:r w:rsidRPr="00F231DF">
        <w:rPr>
          <w:noProof/>
        </w:rPr>
        <w:drawing>
          <wp:inline distT="0" distB="0" distL="0" distR="0" wp14:anchorId="1C4F8766" wp14:editId="7DC2B694">
            <wp:extent cx="5915851" cy="4039164"/>
            <wp:effectExtent l="0" t="0" r="8890" b="0"/>
            <wp:docPr id="1882882626" name="Picture 1" descr="The table is the full ranking report that includes all project surveys submitted to the DWSRF program. Those projects were ranked based on the criteria described in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82626" name="Picture 1" descr="The table is the full ranking report that includes all project surveys submitted to the DWSRF program. Those projects were ranked based on the criteria described in the report."/>
                    <pic:cNvPicPr/>
                  </pic:nvPicPr>
                  <pic:blipFill>
                    <a:blip r:embed="rId31"/>
                    <a:stretch>
                      <a:fillRect/>
                    </a:stretch>
                  </pic:blipFill>
                  <pic:spPr>
                    <a:xfrm>
                      <a:off x="0" y="0"/>
                      <a:ext cx="5915851" cy="4039164"/>
                    </a:xfrm>
                    <a:prstGeom prst="rect">
                      <a:avLst/>
                    </a:prstGeom>
                  </pic:spPr>
                </pic:pic>
              </a:graphicData>
            </a:graphic>
          </wp:inline>
        </w:drawing>
      </w:r>
    </w:p>
    <w:p w14:paraId="128E20EB" w14:textId="66261D30" w:rsidR="0092433C" w:rsidRDefault="0092433C" w:rsidP="0092433C">
      <w:pPr>
        <w:jc w:val="center"/>
      </w:pPr>
    </w:p>
    <w:p w14:paraId="4573FD22" w14:textId="5BDE166C" w:rsidR="00800D24" w:rsidRDefault="00800D24" w:rsidP="00F710B1">
      <w:bookmarkStart w:id="154" w:name="_Toc389210539"/>
      <w:bookmarkStart w:id="155" w:name="_Toc392060780"/>
    </w:p>
    <w:p w14:paraId="5BB9C4A4" w14:textId="77777777" w:rsidR="00213CEE" w:rsidRDefault="00213CEE" w:rsidP="00F710B1">
      <w:pPr>
        <w:sectPr w:rsidR="00213CEE" w:rsidSect="0095158D">
          <w:headerReference w:type="even" r:id="rId32"/>
          <w:headerReference w:type="default" r:id="rId33"/>
          <w:footerReference w:type="default" r:id="rId34"/>
          <w:headerReference w:type="first" r:id="rId35"/>
          <w:pgSz w:w="12240" w:h="15840"/>
          <w:pgMar w:top="1440" w:right="1440" w:bottom="1440" w:left="1440" w:header="720" w:footer="720" w:gutter="0"/>
          <w:pgNumType w:start="1"/>
          <w:cols w:space="720"/>
          <w:noEndnote/>
          <w:docGrid w:linePitch="299"/>
        </w:sectPr>
      </w:pPr>
    </w:p>
    <w:p w14:paraId="5BADFFB5" w14:textId="77777777" w:rsidR="007324DC" w:rsidRPr="00C13F7E" w:rsidRDefault="007324DC" w:rsidP="00C13F7E">
      <w:pPr>
        <w:pStyle w:val="Heading1"/>
        <w:numPr>
          <w:ilvl w:val="0"/>
          <w:numId w:val="0"/>
        </w:numPr>
        <w:jc w:val="center"/>
        <w:rPr>
          <w:snapToGrid w:val="0"/>
          <w:sz w:val="34"/>
          <w:szCs w:val="34"/>
        </w:rPr>
      </w:pPr>
      <w:bookmarkStart w:id="156" w:name="_Toc44056436"/>
      <w:bookmarkStart w:id="157" w:name="_Toc106021873"/>
      <w:bookmarkStart w:id="158" w:name="_Toc135225434"/>
      <w:bookmarkStart w:id="159" w:name="_Toc163819440"/>
      <w:bookmarkStart w:id="160" w:name="_Toc167092839"/>
      <w:bookmarkStart w:id="161" w:name="_Toc194928418"/>
      <w:bookmarkStart w:id="162" w:name="_Toc198296027"/>
      <w:bookmarkStart w:id="163" w:name="_Toc202277681"/>
      <w:bookmarkStart w:id="164" w:name="_Toc230351787"/>
      <w:r w:rsidRPr="00C13F7E">
        <w:rPr>
          <w:snapToGrid w:val="0"/>
          <w:sz w:val="34"/>
          <w:szCs w:val="34"/>
        </w:rPr>
        <w:lastRenderedPageBreak/>
        <w:t xml:space="preserve">APPENDIX 3: </w:t>
      </w:r>
      <w:r w:rsidRPr="00C13F7E">
        <w:rPr>
          <w:sz w:val="34"/>
          <w:szCs w:val="34"/>
        </w:rPr>
        <w:t>GLOSSARY</w:t>
      </w:r>
      <w:r w:rsidRPr="00C13F7E">
        <w:rPr>
          <w:snapToGrid w:val="0"/>
          <w:sz w:val="34"/>
          <w:szCs w:val="34"/>
        </w:rPr>
        <w:t xml:space="preserve"> OF ACRONYMS AND INITIALIZATIONS</w:t>
      </w:r>
      <w:bookmarkEnd w:id="152"/>
      <w:bookmarkEnd w:id="154"/>
      <w:bookmarkEnd w:id="155"/>
      <w:bookmarkEnd w:id="156"/>
      <w:bookmarkEnd w:id="157"/>
      <w:bookmarkEnd w:id="158"/>
      <w:bookmarkEnd w:id="159"/>
      <w:bookmarkEnd w:id="160"/>
      <w:bookmarkEnd w:id="161"/>
      <w:bookmarkEnd w:id="162"/>
      <w:bookmarkEnd w:id="163"/>
      <w:bookmarkEnd w:id="164"/>
    </w:p>
    <w:tbl>
      <w:tblPr>
        <w:tblW w:w="5000" w:type="pct"/>
        <w:tblLayout w:type="fixed"/>
        <w:tblLook w:val="0000" w:firstRow="0" w:lastRow="0" w:firstColumn="0" w:lastColumn="0" w:noHBand="0" w:noVBand="0"/>
      </w:tblPr>
      <w:tblGrid>
        <w:gridCol w:w="2083"/>
        <w:gridCol w:w="7277"/>
      </w:tblGrid>
      <w:tr w:rsidR="00F152C5" w:rsidRPr="00A91801" w14:paraId="1E951F10" w14:textId="77777777" w:rsidTr="00540415">
        <w:trPr>
          <w:tblHeader/>
        </w:trPr>
        <w:tc>
          <w:tcPr>
            <w:tcW w:w="2083" w:type="dxa"/>
          </w:tcPr>
          <w:p w14:paraId="3D379C39" w14:textId="77777777" w:rsidR="00F152C5" w:rsidRPr="00A91801" w:rsidRDefault="00F152C5" w:rsidP="006A39EE">
            <w:pPr>
              <w:rPr>
                <w:b/>
              </w:rPr>
            </w:pPr>
            <w:r w:rsidRPr="00A91801">
              <w:rPr>
                <w:b/>
              </w:rPr>
              <w:t>Acronym</w:t>
            </w:r>
          </w:p>
        </w:tc>
        <w:tc>
          <w:tcPr>
            <w:tcW w:w="7277" w:type="dxa"/>
          </w:tcPr>
          <w:p w14:paraId="1970FC8B" w14:textId="77777777" w:rsidR="00F152C5" w:rsidRPr="00A91801" w:rsidRDefault="00F152C5" w:rsidP="006A39EE">
            <w:pPr>
              <w:rPr>
                <w:b/>
              </w:rPr>
            </w:pPr>
            <w:r w:rsidRPr="00A91801">
              <w:rPr>
                <w:b/>
              </w:rPr>
              <w:t>Definition</w:t>
            </w:r>
          </w:p>
        </w:tc>
      </w:tr>
      <w:tr w:rsidR="00460F72" w14:paraId="00DC4E4D" w14:textId="77777777" w:rsidTr="00540415">
        <w:tc>
          <w:tcPr>
            <w:tcW w:w="2083" w:type="dxa"/>
          </w:tcPr>
          <w:p w14:paraId="75F2C6B6" w14:textId="4EF9653C" w:rsidR="00460F72" w:rsidRDefault="00460F72" w:rsidP="006A39EE">
            <w:r>
              <w:t>BIL</w:t>
            </w:r>
          </w:p>
        </w:tc>
        <w:tc>
          <w:tcPr>
            <w:tcW w:w="7277" w:type="dxa"/>
          </w:tcPr>
          <w:p w14:paraId="7DBE1944" w14:textId="1A46ED34" w:rsidR="00460F72" w:rsidRDefault="00460F72" w:rsidP="006A39EE">
            <w:r>
              <w:t>Bipartisan Infrastructure Law</w:t>
            </w:r>
          </w:p>
        </w:tc>
      </w:tr>
      <w:tr w:rsidR="004232AA" w14:paraId="2D232FC8" w14:textId="77777777" w:rsidTr="00540415">
        <w:tc>
          <w:tcPr>
            <w:tcW w:w="2083" w:type="dxa"/>
          </w:tcPr>
          <w:p w14:paraId="23E99F45" w14:textId="5D539C9C" w:rsidR="004232AA" w:rsidRDefault="004232AA" w:rsidP="006A39EE">
            <w:r>
              <w:t>CCL</w:t>
            </w:r>
          </w:p>
        </w:tc>
        <w:tc>
          <w:tcPr>
            <w:tcW w:w="7277" w:type="dxa"/>
          </w:tcPr>
          <w:p w14:paraId="548FD675" w14:textId="6BABF62B" w:rsidR="004232AA" w:rsidRDefault="004232AA" w:rsidP="006A39EE">
            <w:r>
              <w:t>Contaminant Candidate List</w:t>
            </w:r>
          </w:p>
        </w:tc>
      </w:tr>
      <w:tr w:rsidR="00F152C5" w14:paraId="3CFB424B" w14:textId="77777777" w:rsidTr="00540415">
        <w:tc>
          <w:tcPr>
            <w:tcW w:w="2083" w:type="dxa"/>
          </w:tcPr>
          <w:p w14:paraId="3BAF4E98" w14:textId="77777777" w:rsidR="00F152C5" w:rsidRDefault="00F152C5" w:rsidP="006A39EE">
            <w:r>
              <w:t>DEQ</w:t>
            </w:r>
          </w:p>
        </w:tc>
        <w:tc>
          <w:tcPr>
            <w:tcW w:w="7277" w:type="dxa"/>
          </w:tcPr>
          <w:p w14:paraId="4F66FCC0" w14:textId="77777777" w:rsidR="00F152C5" w:rsidRDefault="00F152C5" w:rsidP="006A39EE">
            <w:r>
              <w:t>Department of Environmental Quality (Montana)</w:t>
            </w:r>
          </w:p>
        </w:tc>
      </w:tr>
      <w:tr w:rsidR="00F152C5" w14:paraId="29EAFAFD" w14:textId="77777777" w:rsidTr="00540415">
        <w:tc>
          <w:tcPr>
            <w:tcW w:w="2083" w:type="dxa"/>
          </w:tcPr>
          <w:p w14:paraId="0E2B0A58" w14:textId="77777777" w:rsidR="00F152C5" w:rsidRDefault="00F152C5" w:rsidP="006A39EE">
            <w:r>
              <w:t>DNRC</w:t>
            </w:r>
          </w:p>
        </w:tc>
        <w:tc>
          <w:tcPr>
            <w:tcW w:w="7277" w:type="dxa"/>
          </w:tcPr>
          <w:p w14:paraId="2438964E" w14:textId="77777777" w:rsidR="00F152C5" w:rsidRDefault="00F152C5" w:rsidP="006A39EE">
            <w:r>
              <w:t>Department of Natural Resources and Conservation (Montana)</w:t>
            </w:r>
          </w:p>
        </w:tc>
      </w:tr>
      <w:tr w:rsidR="00F152C5" w14:paraId="5AC768CA" w14:textId="77777777" w:rsidTr="00540415">
        <w:tc>
          <w:tcPr>
            <w:tcW w:w="2083" w:type="dxa"/>
          </w:tcPr>
          <w:p w14:paraId="36AB8EC8" w14:textId="77777777" w:rsidR="00F152C5" w:rsidRDefault="00F152C5" w:rsidP="006A39EE">
            <w:r>
              <w:t>DW</w:t>
            </w:r>
          </w:p>
        </w:tc>
        <w:tc>
          <w:tcPr>
            <w:tcW w:w="7277" w:type="dxa"/>
          </w:tcPr>
          <w:p w14:paraId="6E916472" w14:textId="77777777" w:rsidR="00F152C5" w:rsidRDefault="00F152C5" w:rsidP="006A39EE">
            <w:r>
              <w:t>Drinking Water</w:t>
            </w:r>
          </w:p>
        </w:tc>
      </w:tr>
      <w:tr w:rsidR="00F152C5" w14:paraId="37884975" w14:textId="77777777" w:rsidTr="00540415">
        <w:tc>
          <w:tcPr>
            <w:tcW w:w="2083" w:type="dxa"/>
          </w:tcPr>
          <w:p w14:paraId="2F0C057F" w14:textId="77777777" w:rsidR="00F152C5" w:rsidRDefault="00F152C5" w:rsidP="006A39EE">
            <w:r>
              <w:t>DWSRF</w:t>
            </w:r>
          </w:p>
        </w:tc>
        <w:tc>
          <w:tcPr>
            <w:tcW w:w="7277" w:type="dxa"/>
          </w:tcPr>
          <w:p w14:paraId="7B3B9321" w14:textId="77777777" w:rsidR="00F152C5" w:rsidRDefault="00F152C5" w:rsidP="006A39EE">
            <w:r>
              <w:t>Drinking Water State Revolving Fund</w:t>
            </w:r>
          </w:p>
        </w:tc>
      </w:tr>
      <w:tr w:rsidR="000F1C62" w14:paraId="6B394218" w14:textId="77777777" w:rsidTr="00540415">
        <w:tc>
          <w:tcPr>
            <w:tcW w:w="2083" w:type="dxa"/>
          </w:tcPr>
          <w:p w14:paraId="1D02E4F8" w14:textId="17083E87" w:rsidR="000F1C62" w:rsidRDefault="000F1C62" w:rsidP="006A39EE">
            <w:r>
              <w:t>EC</w:t>
            </w:r>
          </w:p>
        </w:tc>
        <w:tc>
          <w:tcPr>
            <w:tcW w:w="7277" w:type="dxa"/>
          </w:tcPr>
          <w:p w14:paraId="1316C2BB" w14:textId="3914D953" w:rsidR="000F1C62" w:rsidRDefault="000F1C62" w:rsidP="006A39EE">
            <w:r>
              <w:t>Emerging Contaminant</w:t>
            </w:r>
          </w:p>
        </w:tc>
      </w:tr>
      <w:tr w:rsidR="00F152C5" w14:paraId="7A94E0DE" w14:textId="77777777" w:rsidTr="00540415">
        <w:tc>
          <w:tcPr>
            <w:tcW w:w="2083" w:type="dxa"/>
          </w:tcPr>
          <w:p w14:paraId="0276D9B6" w14:textId="77777777" w:rsidR="00F152C5" w:rsidRDefault="00F152C5" w:rsidP="006A39EE">
            <w:r>
              <w:t>EPA</w:t>
            </w:r>
          </w:p>
        </w:tc>
        <w:tc>
          <w:tcPr>
            <w:tcW w:w="7277" w:type="dxa"/>
          </w:tcPr>
          <w:p w14:paraId="248AC42E" w14:textId="77777777" w:rsidR="00F152C5" w:rsidRDefault="00F152C5" w:rsidP="006A39EE">
            <w:r>
              <w:t>Environmental Protection Agency (U.S.)</w:t>
            </w:r>
          </w:p>
        </w:tc>
      </w:tr>
      <w:tr w:rsidR="00F152C5" w14:paraId="52E50CCE" w14:textId="77777777" w:rsidTr="00540415">
        <w:tc>
          <w:tcPr>
            <w:tcW w:w="2083" w:type="dxa"/>
          </w:tcPr>
          <w:p w14:paraId="3C83926B" w14:textId="77777777" w:rsidR="00F152C5" w:rsidRDefault="00F152C5" w:rsidP="006A39EE">
            <w:r>
              <w:t>FFY</w:t>
            </w:r>
          </w:p>
        </w:tc>
        <w:tc>
          <w:tcPr>
            <w:tcW w:w="7277" w:type="dxa"/>
          </w:tcPr>
          <w:p w14:paraId="1E94F0C2" w14:textId="77777777" w:rsidR="00F152C5" w:rsidRDefault="00F152C5" w:rsidP="006A39EE">
            <w:r w:rsidRPr="00A91801">
              <w:t>Federal Fiscal Year (begins October 1 and ends September 30)</w:t>
            </w:r>
          </w:p>
        </w:tc>
      </w:tr>
      <w:tr w:rsidR="00460F72" w14:paraId="47473496" w14:textId="77777777" w:rsidTr="00540415">
        <w:tc>
          <w:tcPr>
            <w:tcW w:w="2083" w:type="dxa"/>
          </w:tcPr>
          <w:p w14:paraId="4956CE89" w14:textId="54236139" w:rsidR="00460F72" w:rsidRDefault="00460F72" w:rsidP="006A39EE">
            <w:r>
              <w:t>IIJA</w:t>
            </w:r>
          </w:p>
        </w:tc>
        <w:tc>
          <w:tcPr>
            <w:tcW w:w="7277" w:type="dxa"/>
          </w:tcPr>
          <w:p w14:paraId="223E336A" w14:textId="511C7586" w:rsidR="00460F72" w:rsidRDefault="00460F72" w:rsidP="006A39EE">
            <w:r>
              <w:t>Infrastructure Investment and Jobs Act of 2021</w:t>
            </w:r>
          </w:p>
        </w:tc>
      </w:tr>
      <w:tr w:rsidR="00F152C5" w14:paraId="2F4DE9D1" w14:textId="77777777" w:rsidTr="00540415">
        <w:tc>
          <w:tcPr>
            <w:tcW w:w="2083" w:type="dxa"/>
          </w:tcPr>
          <w:p w14:paraId="4A4BABF8" w14:textId="77777777" w:rsidR="00F152C5" w:rsidRDefault="00F152C5" w:rsidP="006A39EE">
            <w:r>
              <w:t>IUP</w:t>
            </w:r>
          </w:p>
        </w:tc>
        <w:tc>
          <w:tcPr>
            <w:tcW w:w="7277" w:type="dxa"/>
          </w:tcPr>
          <w:p w14:paraId="54111B37" w14:textId="77777777" w:rsidR="00F152C5" w:rsidRDefault="00F152C5" w:rsidP="006A39EE">
            <w:r>
              <w:t>Intended Use Plan</w:t>
            </w:r>
          </w:p>
        </w:tc>
      </w:tr>
      <w:tr w:rsidR="000F1C62" w14:paraId="7962C1D9" w14:textId="77777777" w:rsidTr="00540415">
        <w:tc>
          <w:tcPr>
            <w:tcW w:w="2083" w:type="dxa"/>
          </w:tcPr>
          <w:p w14:paraId="1F1BECF6" w14:textId="718FEE1F" w:rsidR="000F1C62" w:rsidRDefault="000F1C62" w:rsidP="006A39EE">
            <w:r>
              <w:t>HA</w:t>
            </w:r>
          </w:p>
        </w:tc>
        <w:tc>
          <w:tcPr>
            <w:tcW w:w="7277" w:type="dxa"/>
          </w:tcPr>
          <w:p w14:paraId="0D5E6559" w14:textId="6B7A2003" w:rsidR="000F1C62" w:rsidRDefault="000F1C62" w:rsidP="006A39EE">
            <w:r>
              <w:t>Health Advisory</w:t>
            </w:r>
          </w:p>
        </w:tc>
      </w:tr>
      <w:tr w:rsidR="00F152C5" w14:paraId="145138EF" w14:textId="77777777" w:rsidTr="00540415">
        <w:tc>
          <w:tcPr>
            <w:tcW w:w="2083" w:type="dxa"/>
          </w:tcPr>
          <w:p w14:paraId="132DE4E8" w14:textId="77777777" w:rsidR="00F152C5" w:rsidRDefault="00F152C5" w:rsidP="006A39EE">
            <w:r>
              <w:t>MCA</w:t>
            </w:r>
          </w:p>
        </w:tc>
        <w:tc>
          <w:tcPr>
            <w:tcW w:w="7277" w:type="dxa"/>
          </w:tcPr>
          <w:p w14:paraId="62B351AD" w14:textId="77777777" w:rsidR="00F152C5" w:rsidRDefault="00F152C5" w:rsidP="006A39EE">
            <w:r>
              <w:t xml:space="preserve">Montana Code Annotated </w:t>
            </w:r>
          </w:p>
        </w:tc>
      </w:tr>
      <w:tr w:rsidR="00F152C5" w14:paraId="63DF7F1E" w14:textId="77777777" w:rsidTr="00540415">
        <w:tc>
          <w:tcPr>
            <w:tcW w:w="2083" w:type="dxa"/>
          </w:tcPr>
          <w:p w14:paraId="00663538" w14:textId="77777777" w:rsidR="00F152C5" w:rsidRDefault="00F152C5" w:rsidP="006A39EE">
            <w:r>
              <w:t>MHI</w:t>
            </w:r>
          </w:p>
        </w:tc>
        <w:tc>
          <w:tcPr>
            <w:tcW w:w="7277" w:type="dxa"/>
          </w:tcPr>
          <w:p w14:paraId="6C145A77" w14:textId="77777777" w:rsidR="00F152C5" w:rsidRDefault="00F152C5" w:rsidP="006A39EE">
            <w:r w:rsidRPr="006728AC">
              <w:t>Median Household Income</w:t>
            </w:r>
          </w:p>
        </w:tc>
      </w:tr>
      <w:tr w:rsidR="00B311D2" w14:paraId="551D1A99" w14:textId="77777777" w:rsidTr="00540415">
        <w:tc>
          <w:tcPr>
            <w:tcW w:w="2083" w:type="dxa"/>
          </w:tcPr>
          <w:p w14:paraId="6CCA1CC6" w14:textId="7FF91605" w:rsidR="00B311D2" w:rsidRDefault="00B311D2" w:rsidP="006A39EE">
            <w:r>
              <w:t>NEPA</w:t>
            </w:r>
          </w:p>
        </w:tc>
        <w:tc>
          <w:tcPr>
            <w:tcW w:w="7277" w:type="dxa"/>
          </w:tcPr>
          <w:p w14:paraId="20BEDC7B" w14:textId="6637A76A" w:rsidR="00B311D2" w:rsidRDefault="00B311D2" w:rsidP="006A39EE">
            <w:r w:rsidRPr="00B311D2">
              <w:t>National Environmental Policy Act</w:t>
            </w:r>
          </w:p>
        </w:tc>
      </w:tr>
      <w:tr w:rsidR="00F152C5" w14:paraId="00110E4B" w14:textId="77777777" w:rsidTr="00540415">
        <w:tc>
          <w:tcPr>
            <w:tcW w:w="2083" w:type="dxa"/>
          </w:tcPr>
          <w:p w14:paraId="4855ADB4" w14:textId="77777777" w:rsidR="00F152C5" w:rsidRDefault="00F152C5" w:rsidP="006A39EE">
            <w:r>
              <w:t>PWS</w:t>
            </w:r>
          </w:p>
        </w:tc>
        <w:tc>
          <w:tcPr>
            <w:tcW w:w="7277" w:type="dxa"/>
          </w:tcPr>
          <w:p w14:paraId="19F5A6EA" w14:textId="77777777" w:rsidR="00F152C5" w:rsidRDefault="00F152C5" w:rsidP="006A39EE">
            <w:r>
              <w:t>Public Water Supply</w:t>
            </w:r>
          </w:p>
        </w:tc>
      </w:tr>
      <w:tr w:rsidR="00F152C5" w14:paraId="0075FA4F" w14:textId="77777777" w:rsidTr="00540415">
        <w:tc>
          <w:tcPr>
            <w:tcW w:w="2083" w:type="dxa"/>
          </w:tcPr>
          <w:p w14:paraId="295DF7F6" w14:textId="77777777" w:rsidR="00F152C5" w:rsidRDefault="00F152C5" w:rsidP="006A39EE">
            <w:r>
              <w:t>PWSP</w:t>
            </w:r>
          </w:p>
        </w:tc>
        <w:tc>
          <w:tcPr>
            <w:tcW w:w="7277" w:type="dxa"/>
          </w:tcPr>
          <w:p w14:paraId="14FE725C" w14:textId="77777777" w:rsidR="00F152C5" w:rsidRDefault="00F152C5" w:rsidP="006A39EE">
            <w:r>
              <w:t>Public Water Supply Program</w:t>
            </w:r>
          </w:p>
        </w:tc>
      </w:tr>
      <w:tr w:rsidR="00F152C5" w14:paraId="62A59E12" w14:textId="77777777" w:rsidTr="00540415">
        <w:tc>
          <w:tcPr>
            <w:tcW w:w="2083" w:type="dxa"/>
          </w:tcPr>
          <w:p w14:paraId="491055BB" w14:textId="77777777" w:rsidR="00F152C5" w:rsidRDefault="00F152C5" w:rsidP="006A39EE">
            <w:r>
              <w:t>PWSS</w:t>
            </w:r>
          </w:p>
        </w:tc>
        <w:tc>
          <w:tcPr>
            <w:tcW w:w="7277" w:type="dxa"/>
          </w:tcPr>
          <w:p w14:paraId="12B5C725" w14:textId="77777777" w:rsidR="00F152C5" w:rsidRDefault="00F152C5" w:rsidP="006A39EE">
            <w:r w:rsidRPr="00CC210E">
              <w:t>Public Water Supply Supervision</w:t>
            </w:r>
          </w:p>
        </w:tc>
      </w:tr>
      <w:tr w:rsidR="00F152C5" w14:paraId="1BA18410" w14:textId="77777777" w:rsidTr="00540415">
        <w:tc>
          <w:tcPr>
            <w:tcW w:w="2083" w:type="dxa"/>
          </w:tcPr>
          <w:p w14:paraId="0C932B1E" w14:textId="77777777" w:rsidR="00F152C5" w:rsidRDefault="00F152C5" w:rsidP="006A39EE">
            <w:r>
              <w:t>SCADA</w:t>
            </w:r>
          </w:p>
        </w:tc>
        <w:tc>
          <w:tcPr>
            <w:tcW w:w="7277" w:type="dxa"/>
          </w:tcPr>
          <w:p w14:paraId="04E9E276" w14:textId="77777777" w:rsidR="00F152C5" w:rsidRDefault="00085B3C" w:rsidP="006A39EE">
            <w:r>
              <w:t>System Control and Data Acquisition</w:t>
            </w:r>
          </w:p>
        </w:tc>
      </w:tr>
      <w:tr w:rsidR="00F152C5" w14:paraId="79B5AE33" w14:textId="77777777" w:rsidTr="00540415">
        <w:tc>
          <w:tcPr>
            <w:tcW w:w="2083" w:type="dxa"/>
          </w:tcPr>
          <w:p w14:paraId="1E542053" w14:textId="77777777" w:rsidR="00F152C5" w:rsidRDefault="00F152C5" w:rsidP="006A39EE">
            <w:r>
              <w:t>SDWA</w:t>
            </w:r>
          </w:p>
        </w:tc>
        <w:tc>
          <w:tcPr>
            <w:tcW w:w="7277" w:type="dxa"/>
          </w:tcPr>
          <w:p w14:paraId="1C68C0B5" w14:textId="77777777" w:rsidR="00F152C5" w:rsidRDefault="00F152C5" w:rsidP="006A39EE">
            <w:r>
              <w:t>Safe Drinking Water Act</w:t>
            </w:r>
          </w:p>
        </w:tc>
      </w:tr>
      <w:tr w:rsidR="00F152C5" w14:paraId="3A453F5A" w14:textId="77777777" w:rsidTr="00540415">
        <w:tc>
          <w:tcPr>
            <w:tcW w:w="2083" w:type="dxa"/>
          </w:tcPr>
          <w:p w14:paraId="4769EF7C" w14:textId="77777777" w:rsidR="00F152C5" w:rsidRDefault="00F152C5" w:rsidP="006A39EE">
            <w:r>
              <w:t>SFY</w:t>
            </w:r>
          </w:p>
        </w:tc>
        <w:tc>
          <w:tcPr>
            <w:tcW w:w="7277" w:type="dxa"/>
          </w:tcPr>
          <w:p w14:paraId="46154D5A" w14:textId="77777777" w:rsidR="00F152C5" w:rsidRDefault="00F152C5" w:rsidP="006A39EE">
            <w:r w:rsidRPr="00BB195D">
              <w:t>State Fiscal Year (begins July 1 and ends June 30)</w:t>
            </w:r>
          </w:p>
        </w:tc>
      </w:tr>
      <w:tr w:rsidR="00655877" w14:paraId="6E122951" w14:textId="77777777" w:rsidTr="00540415">
        <w:tc>
          <w:tcPr>
            <w:tcW w:w="2083" w:type="dxa"/>
          </w:tcPr>
          <w:p w14:paraId="4FDD88C2" w14:textId="380B07CC" w:rsidR="00655877" w:rsidRDefault="00655877" w:rsidP="006A39EE">
            <w:r>
              <w:t>SMCL</w:t>
            </w:r>
          </w:p>
        </w:tc>
        <w:tc>
          <w:tcPr>
            <w:tcW w:w="7277" w:type="dxa"/>
          </w:tcPr>
          <w:p w14:paraId="00D45D76" w14:textId="1B728AA1" w:rsidR="00655877" w:rsidRDefault="00655877" w:rsidP="006A39EE">
            <w:r>
              <w:t>Secondary Maximum Contaminant Level</w:t>
            </w:r>
          </w:p>
        </w:tc>
      </w:tr>
      <w:tr w:rsidR="00F152C5" w14:paraId="5132257A" w14:textId="77777777" w:rsidTr="00540415">
        <w:tc>
          <w:tcPr>
            <w:tcW w:w="2083" w:type="dxa"/>
          </w:tcPr>
          <w:p w14:paraId="0D9C2861" w14:textId="77777777" w:rsidR="00F152C5" w:rsidRDefault="00F152C5" w:rsidP="006A39EE">
            <w:r>
              <w:t>SRF</w:t>
            </w:r>
          </w:p>
        </w:tc>
        <w:tc>
          <w:tcPr>
            <w:tcW w:w="7277" w:type="dxa"/>
          </w:tcPr>
          <w:p w14:paraId="3AC5CC0F" w14:textId="77777777" w:rsidR="00F152C5" w:rsidRDefault="00F152C5" w:rsidP="006A39EE">
            <w:r>
              <w:t>State Revolving Fund</w:t>
            </w:r>
          </w:p>
        </w:tc>
      </w:tr>
      <w:tr w:rsidR="00F152C5" w14:paraId="51E1FB43" w14:textId="77777777" w:rsidTr="00540415">
        <w:tc>
          <w:tcPr>
            <w:tcW w:w="2083" w:type="dxa"/>
          </w:tcPr>
          <w:p w14:paraId="0BD4A4D9" w14:textId="77777777" w:rsidR="00F152C5" w:rsidRDefault="00F152C5" w:rsidP="006A39EE">
            <w:r>
              <w:t>SWP</w:t>
            </w:r>
          </w:p>
        </w:tc>
        <w:tc>
          <w:tcPr>
            <w:tcW w:w="7277" w:type="dxa"/>
          </w:tcPr>
          <w:p w14:paraId="77C4BF0B" w14:textId="77777777" w:rsidR="00F152C5" w:rsidRDefault="00F152C5" w:rsidP="006A39EE">
            <w:r>
              <w:t>Source Water Protection</w:t>
            </w:r>
          </w:p>
        </w:tc>
      </w:tr>
      <w:tr w:rsidR="00F152C5" w14:paraId="100E6FF4" w14:textId="77777777" w:rsidTr="00540415">
        <w:tc>
          <w:tcPr>
            <w:tcW w:w="2083" w:type="dxa"/>
          </w:tcPr>
          <w:p w14:paraId="0882C80D" w14:textId="77777777" w:rsidR="00F152C5" w:rsidRDefault="00F152C5" w:rsidP="006A39EE">
            <w:r>
              <w:t>TFM</w:t>
            </w:r>
          </w:p>
        </w:tc>
        <w:tc>
          <w:tcPr>
            <w:tcW w:w="7277" w:type="dxa"/>
          </w:tcPr>
          <w:p w14:paraId="1C414C07" w14:textId="77777777" w:rsidR="00F152C5" w:rsidRDefault="00F152C5" w:rsidP="006A39EE">
            <w:r>
              <w:t>Technical, Financial, and Managerial Capacity</w:t>
            </w:r>
          </w:p>
        </w:tc>
      </w:tr>
      <w:tr w:rsidR="00F152C5" w14:paraId="1626BDD3" w14:textId="77777777" w:rsidTr="00540415">
        <w:tc>
          <w:tcPr>
            <w:tcW w:w="2083" w:type="dxa"/>
          </w:tcPr>
          <w:p w14:paraId="615339EE" w14:textId="77777777" w:rsidR="00F152C5" w:rsidRDefault="00F152C5" w:rsidP="006A39EE">
            <w:r>
              <w:t>WPCSRF</w:t>
            </w:r>
          </w:p>
        </w:tc>
        <w:tc>
          <w:tcPr>
            <w:tcW w:w="7277" w:type="dxa"/>
          </w:tcPr>
          <w:p w14:paraId="50E256BF" w14:textId="77777777" w:rsidR="00F152C5" w:rsidRDefault="00F152C5" w:rsidP="006A39EE">
            <w:r w:rsidRPr="00C75E1D">
              <w:t>Water Pollution Control State Revolving Fund</w:t>
            </w:r>
          </w:p>
        </w:tc>
      </w:tr>
    </w:tbl>
    <w:p w14:paraId="674CF25C" w14:textId="56F80FD8" w:rsidR="00F152C5" w:rsidRPr="00BB44D6" w:rsidRDefault="00233974" w:rsidP="00AF3867">
      <w:r>
        <w:t xml:space="preserve"> </w:t>
      </w:r>
    </w:p>
    <w:sectPr w:rsidR="00F152C5" w:rsidRPr="00BB44D6" w:rsidSect="0095158D">
      <w:headerReference w:type="even" r:id="rId36"/>
      <w:headerReference w:type="default" r:id="rId37"/>
      <w:footerReference w:type="default" r:id="rId38"/>
      <w:headerReference w:type="first" r:id="rId39"/>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919B" w14:textId="77777777" w:rsidR="00DD0AA2" w:rsidRDefault="00DD0AA2">
      <w:r>
        <w:separator/>
      </w:r>
    </w:p>
  </w:endnote>
  <w:endnote w:type="continuationSeparator" w:id="0">
    <w:p w14:paraId="0D927C45" w14:textId="77777777" w:rsidR="00DD0AA2" w:rsidRDefault="00DD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83B7" w14:textId="77777777" w:rsidR="00DD0AA2" w:rsidRDefault="00DD0AA2" w:rsidP="005F517A">
    <w:pPr>
      <w:framePr w:wrap="around" w:vAnchor="text" w:hAnchor="margin" w:xAlign="center" w:y="1"/>
    </w:pPr>
    <w:r>
      <w:fldChar w:fldCharType="begin"/>
    </w:r>
    <w:r>
      <w:instrText xml:space="preserve">PAGE  </w:instrText>
    </w:r>
    <w:r>
      <w:fldChar w:fldCharType="end"/>
    </w:r>
  </w:p>
  <w:p w14:paraId="24D1FDD7" w14:textId="77777777" w:rsidR="00DD0AA2" w:rsidRDefault="00DD0A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60CE" w14:textId="77777777" w:rsidR="00DD0AA2" w:rsidRDefault="00DD0AA2">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5D249633" w14:textId="77777777" w:rsidR="00DD0AA2" w:rsidRDefault="00DD0AA2">
    <w:pPr>
      <w:framePr w:wrap="around" w:vAnchor="text" w:hAnchor="margin" w:xAlign="center" w:y="1"/>
    </w:pPr>
  </w:p>
  <w:p w14:paraId="5FA31AC9" w14:textId="77777777" w:rsidR="00DD0AA2" w:rsidRDefault="00DD0AA2">
    <w:pPr>
      <w:tabs>
        <w:tab w:val="right" w:pos="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CC23" w14:textId="13F3F61F" w:rsidR="00DD0AA2" w:rsidRPr="004D254A" w:rsidRDefault="00B1717C" w:rsidP="004D254A">
    <w:pPr>
      <w:pStyle w:val="Footer"/>
    </w:pPr>
    <w:r>
      <w:t>May 2</w:t>
    </w:r>
    <w:r w:rsidR="00821AF2">
      <w:t>8</w:t>
    </w:r>
    <w:r>
      <w:t xml:space="preserve">, </w:t>
    </w:r>
    <w:proofErr w:type="gramStart"/>
    <w:r>
      <w:t>2026</w:t>
    </w:r>
    <w:proofErr w:type="gramEnd"/>
    <w:r w:rsidR="00DD0AA2">
      <w:tab/>
    </w:r>
    <w:r w:rsidR="00DD0AA2">
      <w:tab/>
    </w:r>
    <w:r w:rsidR="00DD0AA2">
      <w:fldChar w:fldCharType="begin"/>
    </w:r>
    <w:r w:rsidR="00DD0AA2">
      <w:instrText xml:space="preserve"> PAGE  \* roman  \* MERGEFORMAT </w:instrText>
    </w:r>
    <w:r w:rsidR="00DD0AA2">
      <w:fldChar w:fldCharType="separate"/>
    </w:r>
    <w:r w:rsidR="00DD0AA2">
      <w:rPr>
        <w:noProof/>
      </w:rPr>
      <w:t>ii</w:t>
    </w:r>
    <w:r w:rsidR="00DD0AA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8A4E" w14:textId="6FB9F9C0" w:rsidR="00E01BF6" w:rsidRPr="004D254A" w:rsidRDefault="00B1717C" w:rsidP="004D254A">
    <w:pPr>
      <w:pStyle w:val="Footer"/>
    </w:pPr>
    <w:r>
      <w:t>May 2</w:t>
    </w:r>
    <w:r w:rsidR="00821AF2">
      <w:t>8</w:t>
    </w:r>
    <w:r>
      <w:t xml:space="preserve">, </w:t>
    </w:r>
    <w:proofErr w:type="gramStart"/>
    <w:r>
      <w:t>2026</w:t>
    </w:r>
    <w:proofErr w:type="gramEnd"/>
    <w:r w:rsidR="00E01BF6">
      <w:tab/>
    </w:r>
    <w:r w:rsidR="00E01BF6">
      <w:tab/>
    </w:r>
    <w:r w:rsidR="00E01BF6">
      <w:fldChar w:fldCharType="begin"/>
    </w:r>
    <w:r w:rsidR="00E01BF6">
      <w:instrText xml:space="preserve"> PAGE  \* Arabic  \* MERGEFORMAT </w:instrText>
    </w:r>
    <w:r w:rsidR="00E01BF6">
      <w:fldChar w:fldCharType="separate"/>
    </w:r>
    <w:r w:rsidR="00E01BF6">
      <w:rPr>
        <w:noProof/>
      </w:rPr>
      <w:t>17</w:t>
    </w:r>
    <w:r w:rsidR="00E01BF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DB30" w14:textId="7664B7C4" w:rsidR="00E01BF6" w:rsidRPr="004D254A" w:rsidRDefault="00B1717C" w:rsidP="00EB5454">
    <w:pPr>
      <w:pStyle w:val="Footer"/>
    </w:pPr>
    <w:r>
      <w:t>May 2</w:t>
    </w:r>
    <w:r w:rsidR="00821AF2">
      <w:t>8</w:t>
    </w:r>
    <w:r>
      <w:t xml:space="preserve">, </w:t>
    </w:r>
    <w:proofErr w:type="gramStart"/>
    <w:r>
      <w:t>2026</w:t>
    </w:r>
    <w:proofErr w:type="gramEnd"/>
    <w:r w:rsidR="00E01BF6">
      <w:tab/>
    </w:r>
    <w:r w:rsidR="00E01BF6">
      <w:tab/>
    </w:r>
    <w:r w:rsidR="00E01BF6">
      <w:tab/>
    </w:r>
    <w:r w:rsidR="00E01BF6">
      <w:tab/>
    </w:r>
    <w:r w:rsidR="00E01BF6">
      <w:tab/>
    </w:r>
    <w:r w:rsidR="00E01BF6">
      <w:tab/>
    </w:r>
    <w:r w:rsidR="00E01BF6">
      <w:fldChar w:fldCharType="begin"/>
    </w:r>
    <w:r w:rsidR="00E01BF6">
      <w:instrText xml:space="preserve"> PAGE  \* Arabic  \* MERGEFORMAT </w:instrText>
    </w:r>
    <w:r w:rsidR="00E01BF6">
      <w:fldChar w:fldCharType="separate"/>
    </w:r>
    <w:r w:rsidR="00E01BF6">
      <w:rPr>
        <w:noProof/>
      </w:rPr>
      <w:t>17</w:t>
    </w:r>
    <w:r w:rsidR="00E01BF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C12E" w14:textId="1AEF4EF2" w:rsidR="00DD0AA2" w:rsidRPr="004D254A" w:rsidRDefault="00B1717C" w:rsidP="004D254A">
    <w:pPr>
      <w:pStyle w:val="Footer"/>
    </w:pPr>
    <w:r>
      <w:t>May 2</w:t>
    </w:r>
    <w:r w:rsidR="00821AF2">
      <w:t>8</w:t>
    </w:r>
    <w:r>
      <w:t xml:space="preserve">, </w:t>
    </w:r>
    <w:proofErr w:type="gramStart"/>
    <w:r>
      <w:t>2026</w:t>
    </w:r>
    <w:proofErr w:type="gramEnd"/>
    <w:r w:rsidR="00DD0AA2">
      <w:tab/>
    </w:r>
    <w:r w:rsidR="00DD0AA2">
      <w:tab/>
    </w:r>
    <w:r w:rsidR="00DD0AA2">
      <w:fldChar w:fldCharType="begin"/>
    </w:r>
    <w:r w:rsidR="00DD0AA2">
      <w:instrText xml:space="preserve"> PAGE  \* Arabic  \* MERGEFORMAT </w:instrText>
    </w:r>
    <w:r w:rsidR="00DD0AA2">
      <w:fldChar w:fldCharType="separate"/>
    </w:r>
    <w:r w:rsidR="00DD0AA2">
      <w:rPr>
        <w:noProof/>
      </w:rPr>
      <w:t>4</w:t>
    </w:r>
    <w:r w:rsidR="00DD0AA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EE2" w14:textId="4579E1F5" w:rsidR="003D4F87" w:rsidRPr="004D254A" w:rsidRDefault="00B1717C" w:rsidP="004D254A">
    <w:pPr>
      <w:pStyle w:val="Footer"/>
    </w:pPr>
    <w:r>
      <w:t>May 2</w:t>
    </w:r>
    <w:r w:rsidR="00821AF2">
      <w:t>8</w:t>
    </w:r>
    <w:r>
      <w:t xml:space="preserve">, </w:t>
    </w:r>
    <w:proofErr w:type="gramStart"/>
    <w:r>
      <w:t>2026</w:t>
    </w:r>
    <w:proofErr w:type="gramEnd"/>
    <w:r w:rsidR="003D4F87">
      <w:tab/>
    </w:r>
    <w:r w:rsidR="003D4F87">
      <w:tab/>
    </w:r>
    <w:r w:rsidR="00C81ADA">
      <w:t>A1-</w:t>
    </w:r>
    <w:r w:rsidR="003D4F87">
      <w:fldChar w:fldCharType="begin"/>
    </w:r>
    <w:r w:rsidR="003D4F87">
      <w:instrText xml:space="preserve"> PAGE  \* Arabic  \* MERGEFORMAT </w:instrText>
    </w:r>
    <w:r w:rsidR="003D4F87">
      <w:fldChar w:fldCharType="separate"/>
    </w:r>
    <w:r w:rsidR="003D4F87">
      <w:rPr>
        <w:noProof/>
      </w:rPr>
      <w:t>4</w:t>
    </w:r>
    <w:r w:rsidR="003D4F8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94D4" w14:textId="3D351676" w:rsidR="006770F0" w:rsidRPr="004D254A" w:rsidRDefault="00B1717C" w:rsidP="004D254A">
    <w:pPr>
      <w:pStyle w:val="Footer"/>
    </w:pPr>
    <w:r>
      <w:t>May 2</w:t>
    </w:r>
    <w:r w:rsidR="00821AF2">
      <w:t>8</w:t>
    </w:r>
    <w:r>
      <w:t xml:space="preserve">, </w:t>
    </w:r>
    <w:proofErr w:type="gramStart"/>
    <w:r>
      <w:t>2026</w:t>
    </w:r>
    <w:proofErr w:type="gramEnd"/>
    <w:r w:rsidR="006770F0">
      <w:tab/>
    </w:r>
    <w:r w:rsidR="006770F0">
      <w:tab/>
    </w:r>
    <w:r w:rsidR="00213CEE">
      <w:t>A2</w:t>
    </w:r>
    <w:r w:rsidR="006770F0">
      <w:t>-</w:t>
    </w:r>
    <w:r w:rsidR="006770F0">
      <w:fldChar w:fldCharType="begin"/>
    </w:r>
    <w:r w:rsidR="006770F0">
      <w:instrText xml:space="preserve"> PAGE  \* Arabic  \* MERGEFORMAT </w:instrText>
    </w:r>
    <w:r w:rsidR="006770F0">
      <w:fldChar w:fldCharType="separate"/>
    </w:r>
    <w:r w:rsidR="006770F0">
      <w:rPr>
        <w:noProof/>
      </w:rPr>
      <w:t>5</w:t>
    </w:r>
    <w:r w:rsidR="006770F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018E" w14:textId="27AC1BCE" w:rsidR="00DE08B6" w:rsidRPr="004D254A" w:rsidRDefault="00B1717C" w:rsidP="004D254A">
    <w:pPr>
      <w:pStyle w:val="Footer"/>
    </w:pPr>
    <w:r>
      <w:t>May 2</w:t>
    </w:r>
    <w:r w:rsidR="00821AF2">
      <w:t>8</w:t>
    </w:r>
    <w:r>
      <w:t xml:space="preserve">, </w:t>
    </w:r>
    <w:proofErr w:type="gramStart"/>
    <w:r>
      <w:t>2026</w:t>
    </w:r>
    <w:proofErr w:type="gramEnd"/>
    <w:r w:rsidR="00DE08B6">
      <w:tab/>
    </w:r>
    <w:r w:rsidR="00DE08B6">
      <w:tab/>
      <w:t>A3-</w:t>
    </w:r>
    <w:r w:rsidR="00DE08B6">
      <w:fldChar w:fldCharType="begin"/>
    </w:r>
    <w:r w:rsidR="00DE08B6">
      <w:instrText xml:space="preserve"> PAGE  \* Arabic  \* MERGEFORMAT </w:instrText>
    </w:r>
    <w:r w:rsidR="00DE08B6">
      <w:fldChar w:fldCharType="separate"/>
    </w:r>
    <w:r w:rsidR="00DE08B6">
      <w:rPr>
        <w:noProof/>
      </w:rPr>
      <w:t>5</w:t>
    </w:r>
    <w:r w:rsidR="00DE08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B9A5" w14:textId="77777777" w:rsidR="00DD0AA2" w:rsidRDefault="00DD0AA2">
      <w:r>
        <w:separator/>
      </w:r>
    </w:p>
  </w:footnote>
  <w:footnote w:type="continuationSeparator" w:id="0">
    <w:p w14:paraId="18CB004C" w14:textId="77777777" w:rsidR="00DD0AA2" w:rsidRDefault="00DD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4DA5" w14:textId="785DACCB" w:rsidR="00DD0AA2" w:rsidRDefault="00DD0AA2">
    <w:pPr>
      <w:framePr w:wrap="auto" w:vAnchor="text" w:hAnchor="margin" w:xAlign="right" w:y="1"/>
    </w:pPr>
  </w:p>
  <w:p w14:paraId="668F59D4" w14:textId="77777777" w:rsidR="00DD0AA2" w:rsidRPr="00DD2A0E" w:rsidRDefault="00DD0AA2" w:rsidP="00C123CC">
    <w:pPr>
      <w:ind w:right="360"/>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14C1" w14:textId="396CEB4B" w:rsidR="00DD0AA2" w:rsidRDefault="003D4F87" w:rsidP="003D4F87">
    <w:pPr>
      <w:pStyle w:val="Header"/>
      <w:tabs>
        <w:tab w:val="left" w:pos="8087"/>
      </w:tabs>
      <w:jc w:val="left"/>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64CF" w14:textId="01B7A0B4" w:rsidR="00DD0AA2" w:rsidRDefault="00DD0A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FE33" w14:textId="3A75E063" w:rsidR="003D4F87" w:rsidRDefault="003D4F87" w:rsidP="003D4F87">
    <w:pPr>
      <w:pStyle w:val="Header"/>
      <w:tabs>
        <w:tab w:val="left" w:pos="8087"/>
      </w:tabs>
      <w:jc w:val="left"/>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C285" w14:textId="69A9AAEC" w:rsidR="00F076A6" w:rsidRDefault="00F076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818" w14:textId="2D0F0A35" w:rsidR="00F076A6" w:rsidRDefault="00F076A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54FF" w14:textId="2642BF17" w:rsidR="00F076A6" w:rsidRDefault="00F076A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DB9D" w14:textId="7994DC04" w:rsidR="00E66D3D" w:rsidRDefault="00E66D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95AC" w14:textId="5EC9807C" w:rsidR="00E66D3D" w:rsidRDefault="00E66D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5452" w14:textId="3507715D" w:rsidR="00E66D3D" w:rsidRDefault="00E66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316540"/>
      <w:docPartObj>
        <w:docPartGallery w:val="Watermarks"/>
        <w:docPartUnique/>
      </w:docPartObj>
    </w:sdtPr>
    <w:sdtEndPr/>
    <w:sdtContent>
      <w:p w14:paraId="20E5DF96" w14:textId="3874B51E" w:rsidR="00786FD8" w:rsidRDefault="005C4865">
        <w:pPr>
          <w:pStyle w:val="Header"/>
        </w:pPr>
        <w:r>
          <w:rPr>
            <w:noProof/>
          </w:rPr>
          <w:pict w14:anchorId="1133A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913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084A" w14:textId="694FE7CC" w:rsidR="00DD0AA2" w:rsidRDefault="00DD0A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B940" w14:textId="56E184B6" w:rsidR="00DD0AA2" w:rsidRDefault="00DD0AA2" w:rsidP="00804F57">
    <w:pPr>
      <w:pStyle w:val="Header"/>
    </w:pPr>
    <w:r>
      <w:t xml:space="preserve">SFY </w:t>
    </w:r>
    <w:r w:rsidR="00275B3D">
      <w:t xml:space="preserve">2027 </w:t>
    </w:r>
    <w:r w:rsidR="00551264">
      <w:t xml:space="preserve">EC </w:t>
    </w:r>
    <w:r>
      <w:t>Intended Use Plan and Project Priority List – Drinking Water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3D75" w14:textId="3CBAE780" w:rsidR="00DD0AA2" w:rsidRDefault="00DD0A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F85A" w14:textId="77777777" w:rsidR="00E01BF6" w:rsidRDefault="00E01B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D216" w14:textId="77777777" w:rsidR="00E01BF6" w:rsidRDefault="00E01B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3998" w14:textId="77777777" w:rsidR="00E01BF6" w:rsidRDefault="00E01B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C791" w14:textId="7C9CB7BC" w:rsidR="00DD0AA2" w:rsidRDefault="00DD0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5B1"/>
    <w:multiLevelType w:val="hybridMultilevel"/>
    <w:tmpl w:val="2F5C2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861"/>
    <w:multiLevelType w:val="hybridMultilevel"/>
    <w:tmpl w:val="11F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92939"/>
    <w:multiLevelType w:val="hybridMultilevel"/>
    <w:tmpl w:val="76DC3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E5DDA"/>
    <w:multiLevelType w:val="hybridMultilevel"/>
    <w:tmpl w:val="5D66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D791B"/>
    <w:multiLevelType w:val="hybridMultilevel"/>
    <w:tmpl w:val="A9FC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1A9"/>
    <w:multiLevelType w:val="hybridMultilevel"/>
    <w:tmpl w:val="7CB816C0"/>
    <w:lvl w:ilvl="0" w:tplc="2B7A3F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627CC"/>
    <w:multiLevelType w:val="hybridMultilevel"/>
    <w:tmpl w:val="E7205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50F4"/>
    <w:multiLevelType w:val="hybridMultilevel"/>
    <w:tmpl w:val="E1CCE530"/>
    <w:lvl w:ilvl="0" w:tplc="24B247A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0058D1"/>
    <w:multiLevelType w:val="hybridMultilevel"/>
    <w:tmpl w:val="04548A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BD0F02"/>
    <w:multiLevelType w:val="hybridMultilevel"/>
    <w:tmpl w:val="F8E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D6B2A"/>
    <w:multiLevelType w:val="hybridMultilevel"/>
    <w:tmpl w:val="0C789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05626"/>
    <w:multiLevelType w:val="hybridMultilevel"/>
    <w:tmpl w:val="05D2A6A4"/>
    <w:lvl w:ilvl="0" w:tplc="1A323986">
      <w:start w:val="1"/>
      <w:numFmt w:val="decimal"/>
      <w:lvlText w:val="%1."/>
      <w:lvlJc w:val="left"/>
      <w:pPr>
        <w:ind w:left="720" w:hanging="360"/>
      </w:pPr>
      <w:rPr>
        <w:b w:val="0"/>
      </w:rPr>
    </w:lvl>
    <w:lvl w:ilvl="1" w:tplc="3E12BD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B33F4"/>
    <w:multiLevelType w:val="hybridMultilevel"/>
    <w:tmpl w:val="479464F8"/>
    <w:lvl w:ilvl="0" w:tplc="F242674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85C98"/>
    <w:multiLevelType w:val="hybridMultilevel"/>
    <w:tmpl w:val="337225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2C678B9"/>
    <w:multiLevelType w:val="hybridMultilevel"/>
    <w:tmpl w:val="2730DB8A"/>
    <w:lvl w:ilvl="0" w:tplc="E4D670C4">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BA6F25"/>
    <w:multiLevelType w:val="hybridMultilevel"/>
    <w:tmpl w:val="23D85B0A"/>
    <w:lvl w:ilvl="0" w:tplc="F660626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EB4146"/>
    <w:multiLevelType w:val="hybridMultilevel"/>
    <w:tmpl w:val="A564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A1C6A"/>
    <w:multiLevelType w:val="hybridMultilevel"/>
    <w:tmpl w:val="AB16ECB8"/>
    <w:lvl w:ilvl="0" w:tplc="0E0090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467A6"/>
    <w:multiLevelType w:val="multilevel"/>
    <w:tmpl w:val="B130329E"/>
    <w:lvl w:ilvl="0">
      <w:start w:val="1"/>
      <w:numFmt w:val="decimal"/>
      <w:pStyle w:val="Heading1"/>
      <w:lvlText w:val="%1.0"/>
      <w:lvlJc w:val="left"/>
      <w:pPr>
        <w:ind w:left="972" w:hanging="432"/>
      </w:pPr>
      <w:rPr>
        <w:rFonts w:hint="default"/>
      </w:rPr>
    </w:lvl>
    <w:lvl w:ilvl="1">
      <w:start w:val="1"/>
      <w:numFmt w:val="decimal"/>
      <w:pStyle w:val="Heading2"/>
      <w:lvlText w:val="%1.%2"/>
      <w:lvlJc w:val="left"/>
      <w:pPr>
        <w:tabs>
          <w:tab w:val="num" w:pos="864"/>
        </w:tabs>
        <w:ind w:left="720" w:hanging="720"/>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214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D6A5A37"/>
    <w:multiLevelType w:val="hybridMultilevel"/>
    <w:tmpl w:val="6A10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C35EC"/>
    <w:multiLevelType w:val="hybridMultilevel"/>
    <w:tmpl w:val="63F0431E"/>
    <w:lvl w:ilvl="0" w:tplc="66D805AA">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A91761"/>
    <w:multiLevelType w:val="hybridMultilevel"/>
    <w:tmpl w:val="50BC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D6A81"/>
    <w:multiLevelType w:val="hybridMultilevel"/>
    <w:tmpl w:val="60F02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883B4B"/>
    <w:multiLevelType w:val="hybridMultilevel"/>
    <w:tmpl w:val="4C26AB30"/>
    <w:lvl w:ilvl="0" w:tplc="C5DC293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B1936"/>
    <w:multiLevelType w:val="hybridMultilevel"/>
    <w:tmpl w:val="E43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71452">
    <w:abstractNumId w:val="11"/>
  </w:num>
  <w:num w:numId="2" w16cid:durableId="92167831">
    <w:abstractNumId w:val="17"/>
  </w:num>
  <w:num w:numId="3" w16cid:durableId="1478839339">
    <w:abstractNumId w:val="5"/>
  </w:num>
  <w:num w:numId="4" w16cid:durableId="1539272763">
    <w:abstractNumId w:val="15"/>
  </w:num>
  <w:num w:numId="5" w16cid:durableId="844782707">
    <w:abstractNumId w:val="7"/>
  </w:num>
  <w:num w:numId="6" w16cid:durableId="1179923991">
    <w:abstractNumId w:val="20"/>
  </w:num>
  <w:num w:numId="7" w16cid:durableId="196890953">
    <w:abstractNumId w:val="14"/>
  </w:num>
  <w:num w:numId="8" w16cid:durableId="241916460">
    <w:abstractNumId w:val="23"/>
  </w:num>
  <w:num w:numId="9" w16cid:durableId="2111580572">
    <w:abstractNumId w:val="12"/>
  </w:num>
  <w:num w:numId="10" w16cid:durableId="92744179">
    <w:abstractNumId w:val="6"/>
  </w:num>
  <w:num w:numId="11" w16cid:durableId="853687838">
    <w:abstractNumId w:val="19"/>
  </w:num>
  <w:num w:numId="12" w16cid:durableId="129328375">
    <w:abstractNumId w:val="4"/>
  </w:num>
  <w:num w:numId="13" w16cid:durableId="580675518">
    <w:abstractNumId w:val="0"/>
  </w:num>
  <w:num w:numId="14" w16cid:durableId="1029716624">
    <w:abstractNumId w:val="2"/>
  </w:num>
  <w:num w:numId="15" w16cid:durableId="87314714">
    <w:abstractNumId w:val="8"/>
  </w:num>
  <w:num w:numId="16" w16cid:durableId="693462882">
    <w:abstractNumId w:val="10"/>
  </w:num>
  <w:num w:numId="17" w16cid:durableId="83234521">
    <w:abstractNumId w:val="16"/>
  </w:num>
  <w:num w:numId="18" w16cid:durableId="725179992">
    <w:abstractNumId w:val="1"/>
  </w:num>
  <w:num w:numId="19" w16cid:durableId="1066877501">
    <w:abstractNumId w:val="18"/>
  </w:num>
  <w:num w:numId="20" w16cid:durableId="1679699861">
    <w:abstractNumId w:val="13"/>
  </w:num>
  <w:num w:numId="21" w16cid:durableId="342897733">
    <w:abstractNumId w:val="9"/>
  </w:num>
  <w:num w:numId="22" w16cid:durableId="1214388628">
    <w:abstractNumId w:val="22"/>
  </w:num>
  <w:num w:numId="23" w16cid:durableId="1209299277">
    <w:abstractNumId w:val="21"/>
  </w:num>
  <w:num w:numId="24" w16cid:durableId="1553073554">
    <w:abstractNumId w:val="24"/>
  </w:num>
  <w:num w:numId="25" w16cid:durableId="145085678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1" w:cryptProviderType="rsaAES" w:cryptAlgorithmClass="hash" w:cryptAlgorithmType="typeAny" w:cryptAlgorithmSid="14" w:cryptSpinCount="100000" w:hash="7pY6oAat+YCSJ289tqx21cxoBL9pOlw2jV16etLprMVZUOZdYxkWeHSaqRQrUboDcSghk01I47vqhkUU1g3gkw==" w:salt="wnhNvM7uU728ya0Ct3EwFQ=="/>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19138"/>
    <o:shapelayout v:ext="edit">
      <o:idmap v:ext="edit" data="2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81"/>
    <w:rsid w:val="000004E0"/>
    <w:rsid w:val="000006AC"/>
    <w:rsid w:val="000009FE"/>
    <w:rsid w:val="00000C38"/>
    <w:rsid w:val="000017FB"/>
    <w:rsid w:val="00001EFC"/>
    <w:rsid w:val="0000230A"/>
    <w:rsid w:val="00002553"/>
    <w:rsid w:val="000026C4"/>
    <w:rsid w:val="0000274A"/>
    <w:rsid w:val="0000288F"/>
    <w:rsid w:val="00002B69"/>
    <w:rsid w:val="000030F8"/>
    <w:rsid w:val="000032C9"/>
    <w:rsid w:val="00003627"/>
    <w:rsid w:val="000038BC"/>
    <w:rsid w:val="00003E32"/>
    <w:rsid w:val="00007A36"/>
    <w:rsid w:val="000107A1"/>
    <w:rsid w:val="00010C3F"/>
    <w:rsid w:val="00011134"/>
    <w:rsid w:val="00011F54"/>
    <w:rsid w:val="0001249B"/>
    <w:rsid w:val="0001415E"/>
    <w:rsid w:val="00014A8A"/>
    <w:rsid w:val="00016A2F"/>
    <w:rsid w:val="00016ED2"/>
    <w:rsid w:val="00017C0B"/>
    <w:rsid w:val="00017EA8"/>
    <w:rsid w:val="00017F0F"/>
    <w:rsid w:val="00020179"/>
    <w:rsid w:val="000201E5"/>
    <w:rsid w:val="000210DE"/>
    <w:rsid w:val="00021C14"/>
    <w:rsid w:val="00023DBD"/>
    <w:rsid w:val="00024566"/>
    <w:rsid w:val="00024745"/>
    <w:rsid w:val="00024A07"/>
    <w:rsid w:val="00024CE2"/>
    <w:rsid w:val="00024F03"/>
    <w:rsid w:val="00024FED"/>
    <w:rsid w:val="000253F5"/>
    <w:rsid w:val="00025F5A"/>
    <w:rsid w:val="00026490"/>
    <w:rsid w:val="00026B8F"/>
    <w:rsid w:val="00027E8E"/>
    <w:rsid w:val="000300DC"/>
    <w:rsid w:val="00030609"/>
    <w:rsid w:val="00030A21"/>
    <w:rsid w:val="00031600"/>
    <w:rsid w:val="000318B5"/>
    <w:rsid w:val="000318F1"/>
    <w:rsid w:val="00033499"/>
    <w:rsid w:val="00033AB7"/>
    <w:rsid w:val="00034E78"/>
    <w:rsid w:val="00035712"/>
    <w:rsid w:val="00035723"/>
    <w:rsid w:val="00036156"/>
    <w:rsid w:val="000362AC"/>
    <w:rsid w:val="00037117"/>
    <w:rsid w:val="000375ED"/>
    <w:rsid w:val="0003764D"/>
    <w:rsid w:val="0004036B"/>
    <w:rsid w:val="00040DFA"/>
    <w:rsid w:val="000414B6"/>
    <w:rsid w:val="0004152C"/>
    <w:rsid w:val="000416DF"/>
    <w:rsid w:val="00041A93"/>
    <w:rsid w:val="00043B93"/>
    <w:rsid w:val="00044C94"/>
    <w:rsid w:val="00045A3F"/>
    <w:rsid w:val="00045D7B"/>
    <w:rsid w:val="0004751C"/>
    <w:rsid w:val="0005000C"/>
    <w:rsid w:val="0005091D"/>
    <w:rsid w:val="000519E3"/>
    <w:rsid w:val="00051B96"/>
    <w:rsid w:val="000523BB"/>
    <w:rsid w:val="0005275B"/>
    <w:rsid w:val="0005285C"/>
    <w:rsid w:val="00053244"/>
    <w:rsid w:val="000532AD"/>
    <w:rsid w:val="0005464B"/>
    <w:rsid w:val="0005470E"/>
    <w:rsid w:val="00054B18"/>
    <w:rsid w:val="000553D3"/>
    <w:rsid w:val="00055854"/>
    <w:rsid w:val="00055B03"/>
    <w:rsid w:val="00056784"/>
    <w:rsid w:val="00056F64"/>
    <w:rsid w:val="00056F8C"/>
    <w:rsid w:val="00056FAC"/>
    <w:rsid w:val="000579BB"/>
    <w:rsid w:val="00060041"/>
    <w:rsid w:val="0006040E"/>
    <w:rsid w:val="00060BF1"/>
    <w:rsid w:val="000611AF"/>
    <w:rsid w:val="000612B1"/>
    <w:rsid w:val="00061513"/>
    <w:rsid w:val="00061801"/>
    <w:rsid w:val="00062BCF"/>
    <w:rsid w:val="00063C7B"/>
    <w:rsid w:val="00064102"/>
    <w:rsid w:val="00064B5F"/>
    <w:rsid w:val="0006575A"/>
    <w:rsid w:val="0006589E"/>
    <w:rsid w:val="000665C2"/>
    <w:rsid w:val="0006673E"/>
    <w:rsid w:val="000676AB"/>
    <w:rsid w:val="00067883"/>
    <w:rsid w:val="00067ED9"/>
    <w:rsid w:val="00067F7F"/>
    <w:rsid w:val="0007005D"/>
    <w:rsid w:val="00070502"/>
    <w:rsid w:val="00070531"/>
    <w:rsid w:val="00070B3C"/>
    <w:rsid w:val="0007102D"/>
    <w:rsid w:val="0007110F"/>
    <w:rsid w:val="00071151"/>
    <w:rsid w:val="00071265"/>
    <w:rsid w:val="00071CE7"/>
    <w:rsid w:val="00072A68"/>
    <w:rsid w:val="00073319"/>
    <w:rsid w:val="00074F9A"/>
    <w:rsid w:val="00075138"/>
    <w:rsid w:val="00075987"/>
    <w:rsid w:val="00076503"/>
    <w:rsid w:val="00076939"/>
    <w:rsid w:val="0008120B"/>
    <w:rsid w:val="000818B8"/>
    <w:rsid w:val="00081CB6"/>
    <w:rsid w:val="00081DF1"/>
    <w:rsid w:val="0008448C"/>
    <w:rsid w:val="0008453E"/>
    <w:rsid w:val="00084A7A"/>
    <w:rsid w:val="00085633"/>
    <w:rsid w:val="00085B3C"/>
    <w:rsid w:val="00085DE4"/>
    <w:rsid w:val="00086346"/>
    <w:rsid w:val="00086543"/>
    <w:rsid w:val="00086EC7"/>
    <w:rsid w:val="000870FD"/>
    <w:rsid w:val="0008741B"/>
    <w:rsid w:val="00087B0F"/>
    <w:rsid w:val="00087F6D"/>
    <w:rsid w:val="00090CC5"/>
    <w:rsid w:val="00090F39"/>
    <w:rsid w:val="000912EC"/>
    <w:rsid w:val="00091393"/>
    <w:rsid w:val="00091B9A"/>
    <w:rsid w:val="0009319F"/>
    <w:rsid w:val="0009348C"/>
    <w:rsid w:val="00093F07"/>
    <w:rsid w:val="00094519"/>
    <w:rsid w:val="00094730"/>
    <w:rsid w:val="00094CE8"/>
    <w:rsid w:val="000955DF"/>
    <w:rsid w:val="0009581C"/>
    <w:rsid w:val="00095862"/>
    <w:rsid w:val="00095ADE"/>
    <w:rsid w:val="00096422"/>
    <w:rsid w:val="00096B36"/>
    <w:rsid w:val="00097B38"/>
    <w:rsid w:val="00097BF4"/>
    <w:rsid w:val="000A1E36"/>
    <w:rsid w:val="000A22F5"/>
    <w:rsid w:val="000A2831"/>
    <w:rsid w:val="000A28A4"/>
    <w:rsid w:val="000A30EF"/>
    <w:rsid w:val="000A401A"/>
    <w:rsid w:val="000A4840"/>
    <w:rsid w:val="000A499D"/>
    <w:rsid w:val="000A4A97"/>
    <w:rsid w:val="000A4F85"/>
    <w:rsid w:val="000A5571"/>
    <w:rsid w:val="000A5FD9"/>
    <w:rsid w:val="000A638D"/>
    <w:rsid w:val="000A66C4"/>
    <w:rsid w:val="000A731B"/>
    <w:rsid w:val="000A741D"/>
    <w:rsid w:val="000A76F4"/>
    <w:rsid w:val="000A7865"/>
    <w:rsid w:val="000A7916"/>
    <w:rsid w:val="000A7D3F"/>
    <w:rsid w:val="000B136D"/>
    <w:rsid w:val="000B1428"/>
    <w:rsid w:val="000B15C0"/>
    <w:rsid w:val="000B257B"/>
    <w:rsid w:val="000B39F2"/>
    <w:rsid w:val="000B3DC9"/>
    <w:rsid w:val="000B54F1"/>
    <w:rsid w:val="000B722C"/>
    <w:rsid w:val="000B72D3"/>
    <w:rsid w:val="000B7B34"/>
    <w:rsid w:val="000B7F89"/>
    <w:rsid w:val="000B7FB1"/>
    <w:rsid w:val="000C0166"/>
    <w:rsid w:val="000C0194"/>
    <w:rsid w:val="000C0470"/>
    <w:rsid w:val="000C0748"/>
    <w:rsid w:val="000C08FA"/>
    <w:rsid w:val="000C0EB6"/>
    <w:rsid w:val="000C1B12"/>
    <w:rsid w:val="000C1E62"/>
    <w:rsid w:val="000C263F"/>
    <w:rsid w:val="000C28C1"/>
    <w:rsid w:val="000C2EC2"/>
    <w:rsid w:val="000C4019"/>
    <w:rsid w:val="000C4996"/>
    <w:rsid w:val="000C4A8F"/>
    <w:rsid w:val="000C5AB5"/>
    <w:rsid w:val="000C663F"/>
    <w:rsid w:val="000C68D5"/>
    <w:rsid w:val="000C6B97"/>
    <w:rsid w:val="000C7B4B"/>
    <w:rsid w:val="000D0861"/>
    <w:rsid w:val="000D0956"/>
    <w:rsid w:val="000D0E7C"/>
    <w:rsid w:val="000D1B7B"/>
    <w:rsid w:val="000D2574"/>
    <w:rsid w:val="000D28BF"/>
    <w:rsid w:val="000D2F29"/>
    <w:rsid w:val="000D32EE"/>
    <w:rsid w:val="000D3691"/>
    <w:rsid w:val="000D3F51"/>
    <w:rsid w:val="000D4844"/>
    <w:rsid w:val="000D5B09"/>
    <w:rsid w:val="000D6922"/>
    <w:rsid w:val="000D6B13"/>
    <w:rsid w:val="000D70EA"/>
    <w:rsid w:val="000E0817"/>
    <w:rsid w:val="000E0CEC"/>
    <w:rsid w:val="000E14A7"/>
    <w:rsid w:val="000E1CAA"/>
    <w:rsid w:val="000E271A"/>
    <w:rsid w:val="000E42F0"/>
    <w:rsid w:val="000E490B"/>
    <w:rsid w:val="000E4C13"/>
    <w:rsid w:val="000E5402"/>
    <w:rsid w:val="000E5BF4"/>
    <w:rsid w:val="000E5C4A"/>
    <w:rsid w:val="000E66A2"/>
    <w:rsid w:val="000E6BC2"/>
    <w:rsid w:val="000E6C52"/>
    <w:rsid w:val="000E713B"/>
    <w:rsid w:val="000F0BD8"/>
    <w:rsid w:val="000F112E"/>
    <w:rsid w:val="000F1479"/>
    <w:rsid w:val="000F1C62"/>
    <w:rsid w:val="000F2066"/>
    <w:rsid w:val="000F29F6"/>
    <w:rsid w:val="000F355C"/>
    <w:rsid w:val="000F369B"/>
    <w:rsid w:val="000F554D"/>
    <w:rsid w:val="000F5C53"/>
    <w:rsid w:val="000F5C7D"/>
    <w:rsid w:val="000F60A2"/>
    <w:rsid w:val="000F60C5"/>
    <w:rsid w:val="000F66F9"/>
    <w:rsid w:val="000F74C9"/>
    <w:rsid w:val="000F765C"/>
    <w:rsid w:val="000F7DA6"/>
    <w:rsid w:val="00100057"/>
    <w:rsid w:val="001006B8"/>
    <w:rsid w:val="00101215"/>
    <w:rsid w:val="00101BDE"/>
    <w:rsid w:val="00102818"/>
    <w:rsid w:val="00102EB4"/>
    <w:rsid w:val="001036E2"/>
    <w:rsid w:val="00103C66"/>
    <w:rsid w:val="00104787"/>
    <w:rsid w:val="0010478B"/>
    <w:rsid w:val="00105210"/>
    <w:rsid w:val="001057D7"/>
    <w:rsid w:val="001058AA"/>
    <w:rsid w:val="00105A1A"/>
    <w:rsid w:val="00106A37"/>
    <w:rsid w:val="001072AC"/>
    <w:rsid w:val="00107ABE"/>
    <w:rsid w:val="00107BF2"/>
    <w:rsid w:val="001107A1"/>
    <w:rsid w:val="00110BB8"/>
    <w:rsid w:val="00111D83"/>
    <w:rsid w:val="00112103"/>
    <w:rsid w:val="0011257E"/>
    <w:rsid w:val="00112A00"/>
    <w:rsid w:val="00112C09"/>
    <w:rsid w:val="001134AA"/>
    <w:rsid w:val="00113667"/>
    <w:rsid w:val="00113F0E"/>
    <w:rsid w:val="00114461"/>
    <w:rsid w:val="0011493A"/>
    <w:rsid w:val="00115061"/>
    <w:rsid w:val="00115EA7"/>
    <w:rsid w:val="0011691A"/>
    <w:rsid w:val="00116983"/>
    <w:rsid w:val="00117207"/>
    <w:rsid w:val="001178C6"/>
    <w:rsid w:val="001179A4"/>
    <w:rsid w:val="00117DA8"/>
    <w:rsid w:val="001209A8"/>
    <w:rsid w:val="00121AAE"/>
    <w:rsid w:val="00122BF0"/>
    <w:rsid w:val="00122FDE"/>
    <w:rsid w:val="0012310F"/>
    <w:rsid w:val="00123689"/>
    <w:rsid w:val="001252D8"/>
    <w:rsid w:val="00125499"/>
    <w:rsid w:val="001257DE"/>
    <w:rsid w:val="001266BA"/>
    <w:rsid w:val="00126FE1"/>
    <w:rsid w:val="0013070D"/>
    <w:rsid w:val="00130CD9"/>
    <w:rsid w:val="0013180D"/>
    <w:rsid w:val="00132C22"/>
    <w:rsid w:val="001347DA"/>
    <w:rsid w:val="001352BC"/>
    <w:rsid w:val="00135637"/>
    <w:rsid w:val="00135E7C"/>
    <w:rsid w:val="00136563"/>
    <w:rsid w:val="001366E2"/>
    <w:rsid w:val="00136D79"/>
    <w:rsid w:val="00137736"/>
    <w:rsid w:val="00140792"/>
    <w:rsid w:val="001412BA"/>
    <w:rsid w:val="0014167A"/>
    <w:rsid w:val="0014190E"/>
    <w:rsid w:val="0014192B"/>
    <w:rsid w:val="00141B4A"/>
    <w:rsid w:val="00141FE3"/>
    <w:rsid w:val="00142405"/>
    <w:rsid w:val="00142878"/>
    <w:rsid w:val="00143795"/>
    <w:rsid w:val="00143DE8"/>
    <w:rsid w:val="0014402B"/>
    <w:rsid w:val="001440E5"/>
    <w:rsid w:val="001441FB"/>
    <w:rsid w:val="00144346"/>
    <w:rsid w:val="00144B6C"/>
    <w:rsid w:val="00144D51"/>
    <w:rsid w:val="0014508B"/>
    <w:rsid w:val="001452AF"/>
    <w:rsid w:val="0014561B"/>
    <w:rsid w:val="0014561E"/>
    <w:rsid w:val="0014567B"/>
    <w:rsid w:val="00145BA1"/>
    <w:rsid w:val="001471BE"/>
    <w:rsid w:val="0015047E"/>
    <w:rsid w:val="0015050C"/>
    <w:rsid w:val="001505EF"/>
    <w:rsid w:val="00150756"/>
    <w:rsid w:val="001509CE"/>
    <w:rsid w:val="0015106E"/>
    <w:rsid w:val="00151BC3"/>
    <w:rsid w:val="00152C14"/>
    <w:rsid w:val="00152DC2"/>
    <w:rsid w:val="00152F22"/>
    <w:rsid w:val="001538CA"/>
    <w:rsid w:val="00153A91"/>
    <w:rsid w:val="001547DF"/>
    <w:rsid w:val="00156953"/>
    <w:rsid w:val="00157FEE"/>
    <w:rsid w:val="0016077C"/>
    <w:rsid w:val="00160D10"/>
    <w:rsid w:val="001621EA"/>
    <w:rsid w:val="00162C36"/>
    <w:rsid w:val="00164760"/>
    <w:rsid w:val="001652BA"/>
    <w:rsid w:val="001655BA"/>
    <w:rsid w:val="001664F9"/>
    <w:rsid w:val="00167365"/>
    <w:rsid w:val="001678FE"/>
    <w:rsid w:val="0017002B"/>
    <w:rsid w:val="00170C05"/>
    <w:rsid w:val="00170E78"/>
    <w:rsid w:val="001720E5"/>
    <w:rsid w:val="00172A77"/>
    <w:rsid w:val="001736A2"/>
    <w:rsid w:val="00173C83"/>
    <w:rsid w:val="001740A0"/>
    <w:rsid w:val="00174673"/>
    <w:rsid w:val="001748DF"/>
    <w:rsid w:val="00174F66"/>
    <w:rsid w:val="0017567F"/>
    <w:rsid w:val="001763DB"/>
    <w:rsid w:val="00177204"/>
    <w:rsid w:val="00177324"/>
    <w:rsid w:val="001774C6"/>
    <w:rsid w:val="00180040"/>
    <w:rsid w:val="00180330"/>
    <w:rsid w:val="00180620"/>
    <w:rsid w:val="0018127C"/>
    <w:rsid w:val="001821D8"/>
    <w:rsid w:val="00182879"/>
    <w:rsid w:val="001829C5"/>
    <w:rsid w:val="00182D17"/>
    <w:rsid w:val="00183B25"/>
    <w:rsid w:val="00183BED"/>
    <w:rsid w:val="00184475"/>
    <w:rsid w:val="00184B2D"/>
    <w:rsid w:val="001854A1"/>
    <w:rsid w:val="001854C2"/>
    <w:rsid w:val="00185715"/>
    <w:rsid w:val="00185989"/>
    <w:rsid w:val="00186164"/>
    <w:rsid w:val="00187A8A"/>
    <w:rsid w:val="00190332"/>
    <w:rsid w:val="0019162F"/>
    <w:rsid w:val="0019198E"/>
    <w:rsid w:val="001941DA"/>
    <w:rsid w:val="00194B06"/>
    <w:rsid w:val="001953DB"/>
    <w:rsid w:val="00195437"/>
    <w:rsid w:val="0019594D"/>
    <w:rsid w:val="0019597F"/>
    <w:rsid w:val="001965F0"/>
    <w:rsid w:val="00196D2A"/>
    <w:rsid w:val="001978FD"/>
    <w:rsid w:val="001A0586"/>
    <w:rsid w:val="001A2378"/>
    <w:rsid w:val="001A29E2"/>
    <w:rsid w:val="001A3065"/>
    <w:rsid w:val="001A32E8"/>
    <w:rsid w:val="001A348D"/>
    <w:rsid w:val="001A4480"/>
    <w:rsid w:val="001A45B6"/>
    <w:rsid w:val="001A535A"/>
    <w:rsid w:val="001A5FFD"/>
    <w:rsid w:val="001A625A"/>
    <w:rsid w:val="001A64FD"/>
    <w:rsid w:val="001A66C0"/>
    <w:rsid w:val="001A7F50"/>
    <w:rsid w:val="001B1027"/>
    <w:rsid w:val="001B190E"/>
    <w:rsid w:val="001B1C3E"/>
    <w:rsid w:val="001B1C4E"/>
    <w:rsid w:val="001B1EE4"/>
    <w:rsid w:val="001B1FB5"/>
    <w:rsid w:val="001B208B"/>
    <w:rsid w:val="001B2514"/>
    <w:rsid w:val="001B3836"/>
    <w:rsid w:val="001B4CE0"/>
    <w:rsid w:val="001B4EF9"/>
    <w:rsid w:val="001B5A2D"/>
    <w:rsid w:val="001B5E30"/>
    <w:rsid w:val="001B6C62"/>
    <w:rsid w:val="001B6D91"/>
    <w:rsid w:val="001B6E77"/>
    <w:rsid w:val="001B7CAA"/>
    <w:rsid w:val="001C0BA9"/>
    <w:rsid w:val="001C162B"/>
    <w:rsid w:val="001C1A69"/>
    <w:rsid w:val="001C2464"/>
    <w:rsid w:val="001C2F56"/>
    <w:rsid w:val="001C336A"/>
    <w:rsid w:val="001C4832"/>
    <w:rsid w:val="001C4875"/>
    <w:rsid w:val="001C5C3F"/>
    <w:rsid w:val="001C688B"/>
    <w:rsid w:val="001D0768"/>
    <w:rsid w:val="001D12F0"/>
    <w:rsid w:val="001D12FD"/>
    <w:rsid w:val="001D1822"/>
    <w:rsid w:val="001D221E"/>
    <w:rsid w:val="001D2899"/>
    <w:rsid w:val="001D2D98"/>
    <w:rsid w:val="001D36BC"/>
    <w:rsid w:val="001D4224"/>
    <w:rsid w:val="001D441E"/>
    <w:rsid w:val="001D4F10"/>
    <w:rsid w:val="001D558A"/>
    <w:rsid w:val="001D5A18"/>
    <w:rsid w:val="001D5F3E"/>
    <w:rsid w:val="001E0617"/>
    <w:rsid w:val="001E0996"/>
    <w:rsid w:val="001E13BC"/>
    <w:rsid w:val="001E1C53"/>
    <w:rsid w:val="001E233C"/>
    <w:rsid w:val="001E2426"/>
    <w:rsid w:val="001E29CC"/>
    <w:rsid w:val="001E452C"/>
    <w:rsid w:val="001E46DA"/>
    <w:rsid w:val="001E496C"/>
    <w:rsid w:val="001E4CC7"/>
    <w:rsid w:val="001E64CE"/>
    <w:rsid w:val="001E6FEA"/>
    <w:rsid w:val="001F0766"/>
    <w:rsid w:val="001F1170"/>
    <w:rsid w:val="001F146C"/>
    <w:rsid w:val="001F1559"/>
    <w:rsid w:val="001F1EC8"/>
    <w:rsid w:val="001F21AF"/>
    <w:rsid w:val="001F2C76"/>
    <w:rsid w:val="001F303A"/>
    <w:rsid w:val="001F437D"/>
    <w:rsid w:val="001F49A6"/>
    <w:rsid w:val="001F4DC6"/>
    <w:rsid w:val="001F52B7"/>
    <w:rsid w:val="001F58F0"/>
    <w:rsid w:val="001F5E1F"/>
    <w:rsid w:val="001F6304"/>
    <w:rsid w:val="001F65B8"/>
    <w:rsid w:val="0020099F"/>
    <w:rsid w:val="002016F8"/>
    <w:rsid w:val="0020205F"/>
    <w:rsid w:val="002021AE"/>
    <w:rsid w:val="002028A9"/>
    <w:rsid w:val="0020318A"/>
    <w:rsid w:val="00203C82"/>
    <w:rsid w:val="00204734"/>
    <w:rsid w:val="00204A5D"/>
    <w:rsid w:val="00205D71"/>
    <w:rsid w:val="0020650E"/>
    <w:rsid w:val="00207EF7"/>
    <w:rsid w:val="0021002C"/>
    <w:rsid w:val="0021086D"/>
    <w:rsid w:val="00210E09"/>
    <w:rsid w:val="0021106F"/>
    <w:rsid w:val="002119F5"/>
    <w:rsid w:val="00212321"/>
    <w:rsid w:val="00212638"/>
    <w:rsid w:val="0021274D"/>
    <w:rsid w:val="00212C2A"/>
    <w:rsid w:val="002134AA"/>
    <w:rsid w:val="00213A62"/>
    <w:rsid w:val="00213CEE"/>
    <w:rsid w:val="00213D16"/>
    <w:rsid w:val="00213F7D"/>
    <w:rsid w:val="0021429C"/>
    <w:rsid w:val="00214B33"/>
    <w:rsid w:val="00215D48"/>
    <w:rsid w:val="00216858"/>
    <w:rsid w:val="00216DF0"/>
    <w:rsid w:val="00217ED9"/>
    <w:rsid w:val="00220371"/>
    <w:rsid w:val="00221C81"/>
    <w:rsid w:val="00221D4B"/>
    <w:rsid w:val="00221EED"/>
    <w:rsid w:val="002225A0"/>
    <w:rsid w:val="00222EC7"/>
    <w:rsid w:val="00223B91"/>
    <w:rsid w:val="00223F9D"/>
    <w:rsid w:val="00224F5C"/>
    <w:rsid w:val="00225915"/>
    <w:rsid w:val="00225D17"/>
    <w:rsid w:val="00225F27"/>
    <w:rsid w:val="002265C9"/>
    <w:rsid w:val="00227ABF"/>
    <w:rsid w:val="00227DA9"/>
    <w:rsid w:val="00227DC7"/>
    <w:rsid w:val="0023064B"/>
    <w:rsid w:val="00230FC9"/>
    <w:rsid w:val="00231887"/>
    <w:rsid w:val="00232B28"/>
    <w:rsid w:val="00232D8A"/>
    <w:rsid w:val="00233974"/>
    <w:rsid w:val="00233D0B"/>
    <w:rsid w:val="00234570"/>
    <w:rsid w:val="002355B3"/>
    <w:rsid w:val="002357E5"/>
    <w:rsid w:val="00235863"/>
    <w:rsid w:val="00235AF1"/>
    <w:rsid w:val="002363C6"/>
    <w:rsid w:val="002375E3"/>
    <w:rsid w:val="00237D2E"/>
    <w:rsid w:val="002407DA"/>
    <w:rsid w:val="0024194A"/>
    <w:rsid w:val="00241C0C"/>
    <w:rsid w:val="00242286"/>
    <w:rsid w:val="00242529"/>
    <w:rsid w:val="0024258B"/>
    <w:rsid w:val="00242965"/>
    <w:rsid w:val="00243465"/>
    <w:rsid w:val="002443AE"/>
    <w:rsid w:val="0024472F"/>
    <w:rsid w:val="002449E1"/>
    <w:rsid w:val="00245241"/>
    <w:rsid w:val="00245700"/>
    <w:rsid w:val="00245F1F"/>
    <w:rsid w:val="00246B90"/>
    <w:rsid w:val="002501F0"/>
    <w:rsid w:val="00250A7F"/>
    <w:rsid w:val="00251AED"/>
    <w:rsid w:val="002520B6"/>
    <w:rsid w:val="0025293A"/>
    <w:rsid w:val="00252997"/>
    <w:rsid w:val="00253939"/>
    <w:rsid w:val="00253A03"/>
    <w:rsid w:val="002558D6"/>
    <w:rsid w:val="0025639B"/>
    <w:rsid w:val="00256540"/>
    <w:rsid w:val="00256A08"/>
    <w:rsid w:val="0025716E"/>
    <w:rsid w:val="00257BD7"/>
    <w:rsid w:val="00257FDA"/>
    <w:rsid w:val="0026045D"/>
    <w:rsid w:val="00260B66"/>
    <w:rsid w:val="0026114B"/>
    <w:rsid w:val="002615E1"/>
    <w:rsid w:val="00261BA7"/>
    <w:rsid w:val="002623AC"/>
    <w:rsid w:val="002627D5"/>
    <w:rsid w:val="00262B11"/>
    <w:rsid w:val="00262EF6"/>
    <w:rsid w:val="0026341E"/>
    <w:rsid w:val="00263AFE"/>
    <w:rsid w:val="002648F5"/>
    <w:rsid w:val="0026565E"/>
    <w:rsid w:val="00265ABE"/>
    <w:rsid w:val="0026603B"/>
    <w:rsid w:val="00266233"/>
    <w:rsid w:val="002665C8"/>
    <w:rsid w:val="0026675F"/>
    <w:rsid w:val="00267D90"/>
    <w:rsid w:val="00270136"/>
    <w:rsid w:val="00272E53"/>
    <w:rsid w:val="00272FE3"/>
    <w:rsid w:val="00273019"/>
    <w:rsid w:val="0027311F"/>
    <w:rsid w:val="002733A1"/>
    <w:rsid w:val="002739A9"/>
    <w:rsid w:val="00275A9B"/>
    <w:rsid w:val="00275B3D"/>
    <w:rsid w:val="0027604B"/>
    <w:rsid w:val="00276337"/>
    <w:rsid w:val="00276879"/>
    <w:rsid w:val="00276C9D"/>
    <w:rsid w:val="00276F26"/>
    <w:rsid w:val="00277AFC"/>
    <w:rsid w:val="00277D3D"/>
    <w:rsid w:val="00280327"/>
    <w:rsid w:val="002810B6"/>
    <w:rsid w:val="00281944"/>
    <w:rsid w:val="00281C39"/>
    <w:rsid w:val="00281C3B"/>
    <w:rsid w:val="00281D6B"/>
    <w:rsid w:val="002823D7"/>
    <w:rsid w:val="00282746"/>
    <w:rsid w:val="0028289F"/>
    <w:rsid w:val="00282989"/>
    <w:rsid w:val="00282E71"/>
    <w:rsid w:val="00282F32"/>
    <w:rsid w:val="00283CA3"/>
    <w:rsid w:val="00283D8B"/>
    <w:rsid w:val="00285333"/>
    <w:rsid w:val="00285EFF"/>
    <w:rsid w:val="002868A8"/>
    <w:rsid w:val="00286BEE"/>
    <w:rsid w:val="00290411"/>
    <w:rsid w:val="0029050B"/>
    <w:rsid w:val="002905D0"/>
    <w:rsid w:val="0029096F"/>
    <w:rsid w:val="00290A2D"/>
    <w:rsid w:val="00292A95"/>
    <w:rsid w:val="00293115"/>
    <w:rsid w:val="0029331E"/>
    <w:rsid w:val="00293856"/>
    <w:rsid w:val="00293EB4"/>
    <w:rsid w:val="00293F35"/>
    <w:rsid w:val="0029465B"/>
    <w:rsid w:val="00294B45"/>
    <w:rsid w:val="0029572C"/>
    <w:rsid w:val="0029576D"/>
    <w:rsid w:val="0029582A"/>
    <w:rsid w:val="00295A39"/>
    <w:rsid w:val="00296052"/>
    <w:rsid w:val="002961A7"/>
    <w:rsid w:val="00296C2E"/>
    <w:rsid w:val="0029739D"/>
    <w:rsid w:val="00297FCB"/>
    <w:rsid w:val="002A18B8"/>
    <w:rsid w:val="002A1911"/>
    <w:rsid w:val="002A19C4"/>
    <w:rsid w:val="002A1DDF"/>
    <w:rsid w:val="002A1FDB"/>
    <w:rsid w:val="002A2765"/>
    <w:rsid w:val="002A2A81"/>
    <w:rsid w:val="002A2CEC"/>
    <w:rsid w:val="002A38F4"/>
    <w:rsid w:val="002A4752"/>
    <w:rsid w:val="002A4C7B"/>
    <w:rsid w:val="002A5363"/>
    <w:rsid w:val="002A589E"/>
    <w:rsid w:val="002A5FCF"/>
    <w:rsid w:val="002A601F"/>
    <w:rsid w:val="002A6ADD"/>
    <w:rsid w:val="002A6D30"/>
    <w:rsid w:val="002B042A"/>
    <w:rsid w:val="002B04AB"/>
    <w:rsid w:val="002B073A"/>
    <w:rsid w:val="002B08EB"/>
    <w:rsid w:val="002B2305"/>
    <w:rsid w:val="002B2457"/>
    <w:rsid w:val="002B2C0B"/>
    <w:rsid w:val="002B361E"/>
    <w:rsid w:val="002B46A1"/>
    <w:rsid w:val="002B5FB8"/>
    <w:rsid w:val="002B7422"/>
    <w:rsid w:val="002C0BA3"/>
    <w:rsid w:val="002C0D53"/>
    <w:rsid w:val="002C100E"/>
    <w:rsid w:val="002C191E"/>
    <w:rsid w:val="002C1AE1"/>
    <w:rsid w:val="002C4576"/>
    <w:rsid w:val="002C5983"/>
    <w:rsid w:val="002C703C"/>
    <w:rsid w:val="002C7090"/>
    <w:rsid w:val="002C72EA"/>
    <w:rsid w:val="002C7C21"/>
    <w:rsid w:val="002D049D"/>
    <w:rsid w:val="002D06EF"/>
    <w:rsid w:val="002D0CAC"/>
    <w:rsid w:val="002D0EBE"/>
    <w:rsid w:val="002D15EC"/>
    <w:rsid w:val="002D1C3D"/>
    <w:rsid w:val="002D221F"/>
    <w:rsid w:val="002D22AB"/>
    <w:rsid w:val="002D282E"/>
    <w:rsid w:val="002D2A7C"/>
    <w:rsid w:val="002D3C68"/>
    <w:rsid w:val="002D3F34"/>
    <w:rsid w:val="002D49E2"/>
    <w:rsid w:val="002D4F6A"/>
    <w:rsid w:val="002D5630"/>
    <w:rsid w:val="002D56D9"/>
    <w:rsid w:val="002D62B2"/>
    <w:rsid w:val="002D6763"/>
    <w:rsid w:val="002D6953"/>
    <w:rsid w:val="002D73ED"/>
    <w:rsid w:val="002D746F"/>
    <w:rsid w:val="002D763C"/>
    <w:rsid w:val="002E06A3"/>
    <w:rsid w:val="002E07B5"/>
    <w:rsid w:val="002E0DFB"/>
    <w:rsid w:val="002E13C7"/>
    <w:rsid w:val="002E1CC2"/>
    <w:rsid w:val="002E1D80"/>
    <w:rsid w:val="002E2436"/>
    <w:rsid w:val="002E2657"/>
    <w:rsid w:val="002E3867"/>
    <w:rsid w:val="002E4BAE"/>
    <w:rsid w:val="002E4F79"/>
    <w:rsid w:val="002E50A3"/>
    <w:rsid w:val="002E5A20"/>
    <w:rsid w:val="002E6435"/>
    <w:rsid w:val="002E77A8"/>
    <w:rsid w:val="002F0986"/>
    <w:rsid w:val="002F09F0"/>
    <w:rsid w:val="002F1DD4"/>
    <w:rsid w:val="002F21A7"/>
    <w:rsid w:val="002F3BE4"/>
    <w:rsid w:val="002F4438"/>
    <w:rsid w:val="002F4CE5"/>
    <w:rsid w:val="002F6891"/>
    <w:rsid w:val="002F789A"/>
    <w:rsid w:val="002F7CB3"/>
    <w:rsid w:val="0030030D"/>
    <w:rsid w:val="003003F5"/>
    <w:rsid w:val="003005D6"/>
    <w:rsid w:val="00300784"/>
    <w:rsid w:val="00300B86"/>
    <w:rsid w:val="00300D4C"/>
    <w:rsid w:val="003017AE"/>
    <w:rsid w:val="00301C2F"/>
    <w:rsid w:val="00301CA1"/>
    <w:rsid w:val="00301E49"/>
    <w:rsid w:val="00302476"/>
    <w:rsid w:val="003024AC"/>
    <w:rsid w:val="003029A6"/>
    <w:rsid w:val="003053CD"/>
    <w:rsid w:val="00306404"/>
    <w:rsid w:val="00306B2D"/>
    <w:rsid w:val="00306FBC"/>
    <w:rsid w:val="00307B54"/>
    <w:rsid w:val="00310404"/>
    <w:rsid w:val="00311574"/>
    <w:rsid w:val="0031181C"/>
    <w:rsid w:val="003118B7"/>
    <w:rsid w:val="00311953"/>
    <w:rsid w:val="00311D74"/>
    <w:rsid w:val="003128F8"/>
    <w:rsid w:val="00313927"/>
    <w:rsid w:val="003139B0"/>
    <w:rsid w:val="00313E65"/>
    <w:rsid w:val="003147A9"/>
    <w:rsid w:val="00314E5B"/>
    <w:rsid w:val="0031527E"/>
    <w:rsid w:val="00316294"/>
    <w:rsid w:val="0031648E"/>
    <w:rsid w:val="00316ACB"/>
    <w:rsid w:val="00316B55"/>
    <w:rsid w:val="003173AC"/>
    <w:rsid w:val="00317C7F"/>
    <w:rsid w:val="00317E29"/>
    <w:rsid w:val="0032005C"/>
    <w:rsid w:val="0032105B"/>
    <w:rsid w:val="003214FF"/>
    <w:rsid w:val="00321907"/>
    <w:rsid w:val="00321B85"/>
    <w:rsid w:val="00321E38"/>
    <w:rsid w:val="003223FC"/>
    <w:rsid w:val="003229BB"/>
    <w:rsid w:val="00322C88"/>
    <w:rsid w:val="00322D8D"/>
    <w:rsid w:val="003230D5"/>
    <w:rsid w:val="003232D8"/>
    <w:rsid w:val="00323341"/>
    <w:rsid w:val="0032486F"/>
    <w:rsid w:val="00325327"/>
    <w:rsid w:val="00327AF6"/>
    <w:rsid w:val="00331D59"/>
    <w:rsid w:val="003322BD"/>
    <w:rsid w:val="00332348"/>
    <w:rsid w:val="00332953"/>
    <w:rsid w:val="00332CD7"/>
    <w:rsid w:val="003335BB"/>
    <w:rsid w:val="00334157"/>
    <w:rsid w:val="003344D6"/>
    <w:rsid w:val="00337157"/>
    <w:rsid w:val="00337B05"/>
    <w:rsid w:val="003403B8"/>
    <w:rsid w:val="00342255"/>
    <w:rsid w:val="003422E1"/>
    <w:rsid w:val="00342F2E"/>
    <w:rsid w:val="003433BD"/>
    <w:rsid w:val="00343775"/>
    <w:rsid w:val="00343DE3"/>
    <w:rsid w:val="003444A4"/>
    <w:rsid w:val="0034478D"/>
    <w:rsid w:val="00345AFD"/>
    <w:rsid w:val="00345F7A"/>
    <w:rsid w:val="003461BD"/>
    <w:rsid w:val="003465C4"/>
    <w:rsid w:val="003467F2"/>
    <w:rsid w:val="00346995"/>
    <w:rsid w:val="003472D1"/>
    <w:rsid w:val="003474B3"/>
    <w:rsid w:val="00347804"/>
    <w:rsid w:val="00347A20"/>
    <w:rsid w:val="00347A57"/>
    <w:rsid w:val="003500D8"/>
    <w:rsid w:val="00350576"/>
    <w:rsid w:val="00350965"/>
    <w:rsid w:val="003522FF"/>
    <w:rsid w:val="00352EAB"/>
    <w:rsid w:val="0035640A"/>
    <w:rsid w:val="0035728C"/>
    <w:rsid w:val="003602BD"/>
    <w:rsid w:val="00361750"/>
    <w:rsid w:val="0036283B"/>
    <w:rsid w:val="00362D8B"/>
    <w:rsid w:val="0036400F"/>
    <w:rsid w:val="0036426E"/>
    <w:rsid w:val="00365D74"/>
    <w:rsid w:val="00365F48"/>
    <w:rsid w:val="0036604D"/>
    <w:rsid w:val="003666A8"/>
    <w:rsid w:val="00366E61"/>
    <w:rsid w:val="00371453"/>
    <w:rsid w:val="00371DF6"/>
    <w:rsid w:val="0037256C"/>
    <w:rsid w:val="003729D8"/>
    <w:rsid w:val="00373022"/>
    <w:rsid w:val="0037352A"/>
    <w:rsid w:val="00373BA7"/>
    <w:rsid w:val="0037404C"/>
    <w:rsid w:val="0037426A"/>
    <w:rsid w:val="00374F5D"/>
    <w:rsid w:val="0037631C"/>
    <w:rsid w:val="003766EA"/>
    <w:rsid w:val="0037680C"/>
    <w:rsid w:val="00380145"/>
    <w:rsid w:val="00381AF1"/>
    <w:rsid w:val="003827FD"/>
    <w:rsid w:val="00383110"/>
    <w:rsid w:val="00383944"/>
    <w:rsid w:val="00383A37"/>
    <w:rsid w:val="003857CF"/>
    <w:rsid w:val="003860D1"/>
    <w:rsid w:val="00386153"/>
    <w:rsid w:val="003874C1"/>
    <w:rsid w:val="003878AC"/>
    <w:rsid w:val="003905A1"/>
    <w:rsid w:val="003911E8"/>
    <w:rsid w:val="003913A8"/>
    <w:rsid w:val="003928B9"/>
    <w:rsid w:val="00392C00"/>
    <w:rsid w:val="003930DD"/>
    <w:rsid w:val="0039317F"/>
    <w:rsid w:val="00393CB1"/>
    <w:rsid w:val="00395AC4"/>
    <w:rsid w:val="00395F85"/>
    <w:rsid w:val="00397036"/>
    <w:rsid w:val="00397903"/>
    <w:rsid w:val="003A01A4"/>
    <w:rsid w:val="003A03C0"/>
    <w:rsid w:val="003A0BA8"/>
    <w:rsid w:val="003A28B7"/>
    <w:rsid w:val="003A3242"/>
    <w:rsid w:val="003A3472"/>
    <w:rsid w:val="003A3577"/>
    <w:rsid w:val="003A374B"/>
    <w:rsid w:val="003A37AC"/>
    <w:rsid w:val="003A40D8"/>
    <w:rsid w:val="003A4602"/>
    <w:rsid w:val="003A4778"/>
    <w:rsid w:val="003A48A2"/>
    <w:rsid w:val="003A50C7"/>
    <w:rsid w:val="003A54C1"/>
    <w:rsid w:val="003A628A"/>
    <w:rsid w:val="003A7218"/>
    <w:rsid w:val="003B01FE"/>
    <w:rsid w:val="003B0829"/>
    <w:rsid w:val="003B170B"/>
    <w:rsid w:val="003B1C9E"/>
    <w:rsid w:val="003B1EB3"/>
    <w:rsid w:val="003B211B"/>
    <w:rsid w:val="003B2B9B"/>
    <w:rsid w:val="003B2E95"/>
    <w:rsid w:val="003B2FE0"/>
    <w:rsid w:val="003B36FE"/>
    <w:rsid w:val="003B449F"/>
    <w:rsid w:val="003B5F6D"/>
    <w:rsid w:val="003B6EDB"/>
    <w:rsid w:val="003B71F6"/>
    <w:rsid w:val="003B770F"/>
    <w:rsid w:val="003C002C"/>
    <w:rsid w:val="003C0EF9"/>
    <w:rsid w:val="003C1762"/>
    <w:rsid w:val="003C19D0"/>
    <w:rsid w:val="003C1BE9"/>
    <w:rsid w:val="003C1C64"/>
    <w:rsid w:val="003C3550"/>
    <w:rsid w:val="003C3977"/>
    <w:rsid w:val="003C4800"/>
    <w:rsid w:val="003C4ED0"/>
    <w:rsid w:val="003C5812"/>
    <w:rsid w:val="003C5D63"/>
    <w:rsid w:val="003C6905"/>
    <w:rsid w:val="003C6B0E"/>
    <w:rsid w:val="003C6E5D"/>
    <w:rsid w:val="003C73AF"/>
    <w:rsid w:val="003C76BE"/>
    <w:rsid w:val="003C783A"/>
    <w:rsid w:val="003C7E1A"/>
    <w:rsid w:val="003D0B20"/>
    <w:rsid w:val="003D2ED4"/>
    <w:rsid w:val="003D2F46"/>
    <w:rsid w:val="003D30D1"/>
    <w:rsid w:val="003D33C6"/>
    <w:rsid w:val="003D40AB"/>
    <w:rsid w:val="003D40DE"/>
    <w:rsid w:val="003D4F87"/>
    <w:rsid w:val="003D4FE7"/>
    <w:rsid w:val="003D5239"/>
    <w:rsid w:val="003D55ED"/>
    <w:rsid w:val="003D5EB9"/>
    <w:rsid w:val="003D610A"/>
    <w:rsid w:val="003D63E4"/>
    <w:rsid w:val="003D7D53"/>
    <w:rsid w:val="003E1A4B"/>
    <w:rsid w:val="003E2200"/>
    <w:rsid w:val="003E232F"/>
    <w:rsid w:val="003E238E"/>
    <w:rsid w:val="003E2444"/>
    <w:rsid w:val="003E2967"/>
    <w:rsid w:val="003E2A43"/>
    <w:rsid w:val="003E2C61"/>
    <w:rsid w:val="003E3D49"/>
    <w:rsid w:val="003E468E"/>
    <w:rsid w:val="003E49C5"/>
    <w:rsid w:val="003E546C"/>
    <w:rsid w:val="003E580C"/>
    <w:rsid w:val="003E5D49"/>
    <w:rsid w:val="003F05B2"/>
    <w:rsid w:val="003F10F2"/>
    <w:rsid w:val="003F149B"/>
    <w:rsid w:val="003F1B0E"/>
    <w:rsid w:val="003F25E0"/>
    <w:rsid w:val="003F2E67"/>
    <w:rsid w:val="003F31DE"/>
    <w:rsid w:val="003F3F09"/>
    <w:rsid w:val="003F43AB"/>
    <w:rsid w:val="003F43DB"/>
    <w:rsid w:val="003F4E96"/>
    <w:rsid w:val="003F4FD4"/>
    <w:rsid w:val="003F5A96"/>
    <w:rsid w:val="003F7DCA"/>
    <w:rsid w:val="003F7E47"/>
    <w:rsid w:val="00400046"/>
    <w:rsid w:val="00400081"/>
    <w:rsid w:val="004000AE"/>
    <w:rsid w:val="00400D5F"/>
    <w:rsid w:val="00400EDE"/>
    <w:rsid w:val="0040202E"/>
    <w:rsid w:val="00402D66"/>
    <w:rsid w:val="00402F9C"/>
    <w:rsid w:val="004037BB"/>
    <w:rsid w:val="004039C6"/>
    <w:rsid w:val="00403AD7"/>
    <w:rsid w:val="00403B5E"/>
    <w:rsid w:val="00404151"/>
    <w:rsid w:val="0040477B"/>
    <w:rsid w:val="004048BF"/>
    <w:rsid w:val="00404C51"/>
    <w:rsid w:val="00404D94"/>
    <w:rsid w:val="00405978"/>
    <w:rsid w:val="00405AE8"/>
    <w:rsid w:val="004062ED"/>
    <w:rsid w:val="00406432"/>
    <w:rsid w:val="00407FA3"/>
    <w:rsid w:val="00410B53"/>
    <w:rsid w:val="00410B5F"/>
    <w:rsid w:val="00411D7F"/>
    <w:rsid w:val="004122E0"/>
    <w:rsid w:val="004134AE"/>
    <w:rsid w:val="0041382C"/>
    <w:rsid w:val="00413ECE"/>
    <w:rsid w:val="00413EE2"/>
    <w:rsid w:val="004140F6"/>
    <w:rsid w:val="00414354"/>
    <w:rsid w:val="004144E2"/>
    <w:rsid w:val="00415301"/>
    <w:rsid w:val="0041538F"/>
    <w:rsid w:val="00415AEF"/>
    <w:rsid w:val="00415BB8"/>
    <w:rsid w:val="00415DC9"/>
    <w:rsid w:val="00415E2D"/>
    <w:rsid w:val="00416429"/>
    <w:rsid w:val="004168CE"/>
    <w:rsid w:val="00416953"/>
    <w:rsid w:val="00416C5C"/>
    <w:rsid w:val="004171B1"/>
    <w:rsid w:val="00417AE0"/>
    <w:rsid w:val="00417F7F"/>
    <w:rsid w:val="0042094A"/>
    <w:rsid w:val="00420D80"/>
    <w:rsid w:val="004210FC"/>
    <w:rsid w:val="004212E0"/>
    <w:rsid w:val="0042167A"/>
    <w:rsid w:val="004232AA"/>
    <w:rsid w:val="00423355"/>
    <w:rsid w:val="00424121"/>
    <w:rsid w:val="004245A4"/>
    <w:rsid w:val="00424DA4"/>
    <w:rsid w:val="00425EBD"/>
    <w:rsid w:val="00426915"/>
    <w:rsid w:val="004270D2"/>
    <w:rsid w:val="00427E46"/>
    <w:rsid w:val="00430A22"/>
    <w:rsid w:val="00430B57"/>
    <w:rsid w:val="00430F25"/>
    <w:rsid w:val="00431085"/>
    <w:rsid w:val="00431416"/>
    <w:rsid w:val="00431EC1"/>
    <w:rsid w:val="00432301"/>
    <w:rsid w:val="004325DB"/>
    <w:rsid w:val="00433047"/>
    <w:rsid w:val="00434052"/>
    <w:rsid w:val="0043412E"/>
    <w:rsid w:val="00434BB7"/>
    <w:rsid w:val="0043564E"/>
    <w:rsid w:val="00435EDC"/>
    <w:rsid w:val="004378D4"/>
    <w:rsid w:val="00440126"/>
    <w:rsid w:val="004409C0"/>
    <w:rsid w:val="00440B03"/>
    <w:rsid w:val="00440EA1"/>
    <w:rsid w:val="00442661"/>
    <w:rsid w:val="00442B2B"/>
    <w:rsid w:val="0044322C"/>
    <w:rsid w:val="004439E2"/>
    <w:rsid w:val="00443F2E"/>
    <w:rsid w:val="004441FD"/>
    <w:rsid w:val="004455AD"/>
    <w:rsid w:val="004456EE"/>
    <w:rsid w:val="00445E3D"/>
    <w:rsid w:val="004462AD"/>
    <w:rsid w:val="00446839"/>
    <w:rsid w:val="00446D88"/>
    <w:rsid w:val="00447152"/>
    <w:rsid w:val="0044766C"/>
    <w:rsid w:val="00447F47"/>
    <w:rsid w:val="00450E29"/>
    <w:rsid w:val="0045187E"/>
    <w:rsid w:val="00451B6A"/>
    <w:rsid w:val="004529DF"/>
    <w:rsid w:val="004535DF"/>
    <w:rsid w:val="0045393B"/>
    <w:rsid w:val="00453C5A"/>
    <w:rsid w:val="00453EC0"/>
    <w:rsid w:val="004567CD"/>
    <w:rsid w:val="00456A98"/>
    <w:rsid w:val="0045788A"/>
    <w:rsid w:val="004578B6"/>
    <w:rsid w:val="00460209"/>
    <w:rsid w:val="00460D3D"/>
    <w:rsid w:val="00460F72"/>
    <w:rsid w:val="004611C1"/>
    <w:rsid w:val="0046148D"/>
    <w:rsid w:val="004616D6"/>
    <w:rsid w:val="00462B47"/>
    <w:rsid w:val="00462F1F"/>
    <w:rsid w:val="00463B88"/>
    <w:rsid w:val="00463E46"/>
    <w:rsid w:val="00464907"/>
    <w:rsid w:val="00464B40"/>
    <w:rsid w:val="00465718"/>
    <w:rsid w:val="00466A44"/>
    <w:rsid w:val="00466A8E"/>
    <w:rsid w:val="00466BBA"/>
    <w:rsid w:val="00467226"/>
    <w:rsid w:val="00470562"/>
    <w:rsid w:val="004708F0"/>
    <w:rsid w:val="00470E06"/>
    <w:rsid w:val="00471135"/>
    <w:rsid w:val="00471393"/>
    <w:rsid w:val="0047147D"/>
    <w:rsid w:val="0047194E"/>
    <w:rsid w:val="00472164"/>
    <w:rsid w:val="004727F8"/>
    <w:rsid w:val="00472D08"/>
    <w:rsid w:val="00473670"/>
    <w:rsid w:val="00474A72"/>
    <w:rsid w:val="00475CC7"/>
    <w:rsid w:val="00475CCB"/>
    <w:rsid w:val="00476AEC"/>
    <w:rsid w:val="0047797D"/>
    <w:rsid w:val="00477AA5"/>
    <w:rsid w:val="00477CDC"/>
    <w:rsid w:val="00480656"/>
    <w:rsid w:val="0048069A"/>
    <w:rsid w:val="00480C7D"/>
    <w:rsid w:val="00481876"/>
    <w:rsid w:val="00482AF6"/>
    <w:rsid w:val="00482DD6"/>
    <w:rsid w:val="0048335B"/>
    <w:rsid w:val="00483919"/>
    <w:rsid w:val="00484AE4"/>
    <w:rsid w:val="00484D63"/>
    <w:rsid w:val="00486FDF"/>
    <w:rsid w:val="004874DB"/>
    <w:rsid w:val="004877EC"/>
    <w:rsid w:val="00487C6D"/>
    <w:rsid w:val="00487EEA"/>
    <w:rsid w:val="004901C2"/>
    <w:rsid w:val="004904DC"/>
    <w:rsid w:val="00490539"/>
    <w:rsid w:val="00490DE2"/>
    <w:rsid w:val="00491AAB"/>
    <w:rsid w:val="00491BF1"/>
    <w:rsid w:val="00492733"/>
    <w:rsid w:val="004938F4"/>
    <w:rsid w:val="00493C41"/>
    <w:rsid w:val="0049466E"/>
    <w:rsid w:val="00494CF5"/>
    <w:rsid w:val="004962B7"/>
    <w:rsid w:val="0049706D"/>
    <w:rsid w:val="0049781B"/>
    <w:rsid w:val="004A024E"/>
    <w:rsid w:val="004A0A41"/>
    <w:rsid w:val="004A0E3A"/>
    <w:rsid w:val="004A1CF7"/>
    <w:rsid w:val="004A1E98"/>
    <w:rsid w:val="004A1F72"/>
    <w:rsid w:val="004A364D"/>
    <w:rsid w:val="004A3993"/>
    <w:rsid w:val="004A45F3"/>
    <w:rsid w:val="004A57CA"/>
    <w:rsid w:val="004A59CF"/>
    <w:rsid w:val="004A5B47"/>
    <w:rsid w:val="004A5BEE"/>
    <w:rsid w:val="004A5D05"/>
    <w:rsid w:val="004A61AA"/>
    <w:rsid w:val="004A6742"/>
    <w:rsid w:val="004A6AFB"/>
    <w:rsid w:val="004B05F5"/>
    <w:rsid w:val="004B0D03"/>
    <w:rsid w:val="004B1B62"/>
    <w:rsid w:val="004B241E"/>
    <w:rsid w:val="004B310D"/>
    <w:rsid w:val="004B4D4C"/>
    <w:rsid w:val="004B5029"/>
    <w:rsid w:val="004B517D"/>
    <w:rsid w:val="004B5572"/>
    <w:rsid w:val="004B5B0D"/>
    <w:rsid w:val="004B6AAD"/>
    <w:rsid w:val="004B6BFE"/>
    <w:rsid w:val="004B7352"/>
    <w:rsid w:val="004B76D6"/>
    <w:rsid w:val="004B7F03"/>
    <w:rsid w:val="004C03C9"/>
    <w:rsid w:val="004C06E0"/>
    <w:rsid w:val="004C0AD9"/>
    <w:rsid w:val="004C102E"/>
    <w:rsid w:val="004C2259"/>
    <w:rsid w:val="004C29A7"/>
    <w:rsid w:val="004C3081"/>
    <w:rsid w:val="004C40F9"/>
    <w:rsid w:val="004C43E8"/>
    <w:rsid w:val="004C551E"/>
    <w:rsid w:val="004C553C"/>
    <w:rsid w:val="004C5976"/>
    <w:rsid w:val="004C5D61"/>
    <w:rsid w:val="004C5DB3"/>
    <w:rsid w:val="004C6770"/>
    <w:rsid w:val="004C6CEB"/>
    <w:rsid w:val="004C6EFF"/>
    <w:rsid w:val="004C7590"/>
    <w:rsid w:val="004C75E7"/>
    <w:rsid w:val="004D1F28"/>
    <w:rsid w:val="004D254A"/>
    <w:rsid w:val="004D2B62"/>
    <w:rsid w:val="004D336A"/>
    <w:rsid w:val="004D35BE"/>
    <w:rsid w:val="004D3EA9"/>
    <w:rsid w:val="004D3EFE"/>
    <w:rsid w:val="004D438B"/>
    <w:rsid w:val="004D4876"/>
    <w:rsid w:val="004D513C"/>
    <w:rsid w:val="004D5A40"/>
    <w:rsid w:val="004D5ACF"/>
    <w:rsid w:val="004D5AD5"/>
    <w:rsid w:val="004D5F82"/>
    <w:rsid w:val="004D6549"/>
    <w:rsid w:val="004D7207"/>
    <w:rsid w:val="004D73A3"/>
    <w:rsid w:val="004D7623"/>
    <w:rsid w:val="004E002B"/>
    <w:rsid w:val="004E0168"/>
    <w:rsid w:val="004E0B3B"/>
    <w:rsid w:val="004E167A"/>
    <w:rsid w:val="004E1996"/>
    <w:rsid w:val="004E19E7"/>
    <w:rsid w:val="004E1C97"/>
    <w:rsid w:val="004E1DCB"/>
    <w:rsid w:val="004E223D"/>
    <w:rsid w:val="004E227C"/>
    <w:rsid w:val="004E2485"/>
    <w:rsid w:val="004E24DD"/>
    <w:rsid w:val="004E25ED"/>
    <w:rsid w:val="004E2AD7"/>
    <w:rsid w:val="004E33D9"/>
    <w:rsid w:val="004E3D6F"/>
    <w:rsid w:val="004E3DC1"/>
    <w:rsid w:val="004E4630"/>
    <w:rsid w:val="004E480B"/>
    <w:rsid w:val="004E4D89"/>
    <w:rsid w:val="004E4EB6"/>
    <w:rsid w:val="004E4F1B"/>
    <w:rsid w:val="004E512B"/>
    <w:rsid w:val="004E5D2D"/>
    <w:rsid w:val="004E6375"/>
    <w:rsid w:val="004E64B2"/>
    <w:rsid w:val="004E74F3"/>
    <w:rsid w:val="004E788F"/>
    <w:rsid w:val="004E7F75"/>
    <w:rsid w:val="004F0AD7"/>
    <w:rsid w:val="004F1E1A"/>
    <w:rsid w:val="004F2AAE"/>
    <w:rsid w:val="004F4364"/>
    <w:rsid w:val="004F4F64"/>
    <w:rsid w:val="004F5697"/>
    <w:rsid w:val="004F5FC7"/>
    <w:rsid w:val="005009D9"/>
    <w:rsid w:val="00501346"/>
    <w:rsid w:val="00501EE3"/>
    <w:rsid w:val="00501FA1"/>
    <w:rsid w:val="005021E2"/>
    <w:rsid w:val="00502356"/>
    <w:rsid w:val="00502E8D"/>
    <w:rsid w:val="0050340A"/>
    <w:rsid w:val="00503E9D"/>
    <w:rsid w:val="0050412D"/>
    <w:rsid w:val="0050443B"/>
    <w:rsid w:val="005045DB"/>
    <w:rsid w:val="00504609"/>
    <w:rsid w:val="00504C37"/>
    <w:rsid w:val="00504F4D"/>
    <w:rsid w:val="0050524F"/>
    <w:rsid w:val="005053EF"/>
    <w:rsid w:val="00505CB1"/>
    <w:rsid w:val="00505FF2"/>
    <w:rsid w:val="00507BA9"/>
    <w:rsid w:val="005111F7"/>
    <w:rsid w:val="00511A55"/>
    <w:rsid w:val="0051237E"/>
    <w:rsid w:val="00512BF3"/>
    <w:rsid w:val="00512F41"/>
    <w:rsid w:val="00513009"/>
    <w:rsid w:val="00513010"/>
    <w:rsid w:val="005130B5"/>
    <w:rsid w:val="00515329"/>
    <w:rsid w:val="00515E82"/>
    <w:rsid w:val="0051611F"/>
    <w:rsid w:val="0051638F"/>
    <w:rsid w:val="0051762B"/>
    <w:rsid w:val="00517775"/>
    <w:rsid w:val="00517B73"/>
    <w:rsid w:val="00517CCE"/>
    <w:rsid w:val="005207C2"/>
    <w:rsid w:val="00520D13"/>
    <w:rsid w:val="00520E6B"/>
    <w:rsid w:val="0052173F"/>
    <w:rsid w:val="0052192B"/>
    <w:rsid w:val="00521D80"/>
    <w:rsid w:val="00521DE5"/>
    <w:rsid w:val="005224BB"/>
    <w:rsid w:val="00522F94"/>
    <w:rsid w:val="0052439C"/>
    <w:rsid w:val="005261DF"/>
    <w:rsid w:val="00526573"/>
    <w:rsid w:val="005268F4"/>
    <w:rsid w:val="0052695B"/>
    <w:rsid w:val="00527BCE"/>
    <w:rsid w:val="00530822"/>
    <w:rsid w:val="00530D39"/>
    <w:rsid w:val="00530DC8"/>
    <w:rsid w:val="005314F7"/>
    <w:rsid w:val="00531781"/>
    <w:rsid w:val="00531B7C"/>
    <w:rsid w:val="00532A22"/>
    <w:rsid w:val="00532D65"/>
    <w:rsid w:val="00533E2C"/>
    <w:rsid w:val="005343C0"/>
    <w:rsid w:val="0053450E"/>
    <w:rsid w:val="005347DD"/>
    <w:rsid w:val="005355B3"/>
    <w:rsid w:val="005359CC"/>
    <w:rsid w:val="0053621F"/>
    <w:rsid w:val="0053623E"/>
    <w:rsid w:val="005362E7"/>
    <w:rsid w:val="005364E0"/>
    <w:rsid w:val="00536525"/>
    <w:rsid w:val="00536756"/>
    <w:rsid w:val="00536C58"/>
    <w:rsid w:val="0053727A"/>
    <w:rsid w:val="00540030"/>
    <w:rsid w:val="0054027F"/>
    <w:rsid w:val="0054035E"/>
    <w:rsid w:val="00540415"/>
    <w:rsid w:val="00540BDC"/>
    <w:rsid w:val="00542D34"/>
    <w:rsid w:val="0054317A"/>
    <w:rsid w:val="005436A9"/>
    <w:rsid w:val="005438A7"/>
    <w:rsid w:val="0054535D"/>
    <w:rsid w:val="00545A39"/>
    <w:rsid w:val="0054665B"/>
    <w:rsid w:val="00546D06"/>
    <w:rsid w:val="00550268"/>
    <w:rsid w:val="00551264"/>
    <w:rsid w:val="005513AD"/>
    <w:rsid w:val="005523D3"/>
    <w:rsid w:val="005527D1"/>
    <w:rsid w:val="00552C2A"/>
    <w:rsid w:val="00553823"/>
    <w:rsid w:val="00553B93"/>
    <w:rsid w:val="005554CA"/>
    <w:rsid w:val="0055658B"/>
    <w:rsid w:val="00557874"/>
    <w:rsid w:val="0055793A"/>
    <w:rsid w:val="00557DC6"/>
    <w:rsid w:val="00557E24"/>
    <w:rsid w:val="00560FA3"/>
    <w:rsid w:val="005613D8"/>
    <w:rsid w:val="00561E8D"/>
    <w:rsid w:val="00562684"/>
    <w:rsid w:val="00562738"/>
    <w:rsid w:val="0056334D"/>
    <w:rsid w:val="005633BB"/>
    <w:rsid w:val="00563ACE"/>
    <w:rsid w:val="00564281"/>
    <w:rsid w:val="00564674"/>
    <w:rsid w:val="0056589A"/>
    <w:rsid w:val="00565C87"/>
    <w:rsid w:val="00566B48"/>
    <w:rsid w:val="00566BA1"/>
    <w:rsid w:val="005677F6"/>
    <w:rsid w:val="0057093C"/>
    <w:rsid w:val="005709B9"/>
    <w:rsid w:val="0057190F"/>
    <w:rsid w:val="00571C51"/>
    <w:rsid w:val="00571E3F"/>
    <w:rsid w:val="0057267E"/>
    <w:rsid w:val="00572EC8"/>
    <w:rsid w:val="00573219"/>
    <w:rsid w:val="00573A57"/>
    <w:rsid w:val="00573C4B"/>
    <w:rsid w:val="00573D2B"/>
    <w:rsid w:val="00574E0B"/>
    <w:rsid w:val="00574E11"/>
    <w:rsid w:val="005753B9"/>
    <w:rsid w:val="00575517"/>
    <w:rsid w:val="00575643"/>
    <w:rsid w:val="00575EF2"/>
    <w:rsid w:val="005760B1"/>
    <w:rsid w:val="005768B0"/>
    <w:rsid w:val="0057786A"/>
    <w:rsid w:val="00577B52"/>
    <w:rsid w:val="005806F1"/>
    <w:rsid w:val="005811F2"/>
    <w:rsid w:val="00582A58"/>
    <w:rsid w:val="0058346E"/>
    <w:rsid w:val="005842F4"/>
    <w:rsid w:val="005843D8"/>
    <w:rsid w:val="00584727"/>
    <w:rsid w:val="0058578A"/>
    <w:rsid w:val="00585838"/>
    <w:rsid w:val="00585DB4"/>
    <w:rsid w:val="0058645D"/>
    <w:rsid w:val="00586951"/>
    <w:rsid w:val="00586C94"/>
    <w:rsid w:val="00587080"/>
    <w:rsid w:val="00587199"/>
    <w:rsid w:val="005874EB"/>
    <w:rsid w:val="00587B5F"/>
    <w:rsid w:val="00590630"/>
    <w:rsid w:val="00590716"/>
    <w:rsid w:val="0059148B"/>
    <w:rsid w:val="00591C18"/>
    <w:rsid w:val="00592DF7"/>
    <w:rsid w:val="0059353A"/>
    <w:rsid w:val="00593DBE"/>
    <w:rsid w:val="00595770"/>
    <w:rsid w:val="00595786"/>
    <w:rsid w:val="00596E1A"/>
    <w:rsid w:val="00597175"/>
    <w:rsid w:val="005974F9"/>
    <w:rsid w:val="005A1A0D"/>
    <w:rsid w:val="005A302F"/>
    <w:rsid w:val="005A364D"/>
    <w:rsid w:val="005A37C8"/>
    <w:rsid w:val="005A3B16"/>
    <w:rsid w:val="005A4503"/>
    <w:rsid w:val="005A50B4"/>
    <w:rsid w:val="005A5F00"/>
    <w:rsid w:val="005A6246"/>
    <w:rsid w:val="005A6B77"/>
    <w:rsid w:val="005A7111"/>
    <w:rsid w:val="005B03A3"/>
    <w:rsid w:val="005B06DD"/>
    <w:rsid w:val="005B16B1"/>
    <w:rsid w:val="005B2BE4"/>
    <w:rsid w:val="005B2ED9"/>
    <w:rsid w:val="005B3245"/>
    <w:rsid w:val="005B3625"/>
    <w:rsid w:val="005B395A"/>
    <w:rsid w:val="005B4234"/>
    <w:rsid w:val="005B4B1B"/>
    <w:rsid w:val="005B4CD1"/>
    <w:rsid w:val="005B5322"/>
    <w:rsid w:val="005B5702"/>
    <w:rsid w:val="005B5764"/>
    <w:rsid w:val="005B5A2E"/>
    <w:rsid w:val="005B5A94"/>
    <w:rsid w:val="005B5F0F"/>
    <w:rsid w:val="005B66C8"/>
    <w:rsid w:val="005B66D1"/>
    <w:rsid w:val="005B6778"/>
    <w:rsid w:val="005B6E7A"/>
    <w:rsid w:val="005B7889"/>
    <w:rsid w:val="005B7E9C"/>
    <w:rsid w:val="005B7EE5"/>
    <w:rsid w:val="005C0924"/>
    <w:rsid w:val="005C09F1"/>
    <w:rsid w:val="005C0A1E"/>
    <w:rsid w:val="005C177F"/>
    <w:rsid w:val="005C37AA"/>
    <w:rsid w:val="005C37C4"/>
    <w:rsid w:val="005C41AD"/>
    <w:rsid w:val="005C4865"/>
    <w:rsid w:val="005C5092"/>
    <w:rsid w:val="005C50F3"/>
    <w:rsid w:val="005C5AB4"/>
    <w:rsid w:val="005C5F53"/>
    <w:rsid w:val="005C6576"/>
    <w:rsid w:val="005C7330"/>
    <w:rsid w:val="005C78CF"/>
    <w:rsid w:val="005D1165"/>
    <w:rsid w:val="005D1BA7"/>
    <w:rsid w:val="005D2154"/>
    <w:rsid w:val="005D245E"/>
    <w:rsid w:val="005D277C"/>
    <w:rsid w:val="005D449F"/>
    <w:rsid w:val="005D44A6"/>
    <w:rsid w:val="005D46C5"/>
    <w:rsid w:val="005D481C"/>
    <w:rsid w:val="005D5727"/>
    <w:rsid w:val="005D5BAE"/>
    <w:rsid w:val="005D622E"/>
    <w:rsid w:val="005D69D0"/>
    <w:rsid w:val="005D701C"/>
    <w:rsid w:val="005D773E"/>
    <w:rsid w:val="005D7BF2"/>
    <w:rsid w:val="005E1388"/>
    <w:rsid w:val="005E139D"/>
    <w:rsid w:val="005E159E"/>
    <w:rsid w:val="005E15D1"/>
    <w:rsid w:val="005E1A66"/>
    <w:rsid w:val="005E1C9B"/>
    <w:rsid w:val="005E2058"/>
    <w:rsid w:val="005E27FF"/>
    <w:rsid w:val="005E2966"/>
    <w:rsid w:val="005E4580"/>
    <w:rsid w:val="005E65AF"/>
    <w:rsid w:val="005F0CD1"/>
    <w:rsid w:val="005F10CB"/>
    <w:rsid w:val="005F12F8"/>
    <w:rsid w:val="005F14A3"/>
    <w:rsid w:val="005F16F8"/>
    <w:rsid w:val="005F1D36"/>
    <w:rsid w:val="005F2C69"/>
    <w:rsid w:val="005F4852"/>
    <w:rsid w:val="005F517A"/>
    <w:rsid w:val="005F57FA"/>
    <w:rsid w:val="005F5A74"/>
    <w:rsid w:val="005F6547"/>
    <w:rsid w:val="005F6724"/>
    <w:rsid w:val="005F6731"/>
    <w:rsid w:val="005F6C4A"/>
    <w:rsid w:val="005F6EF1"/>
    <w:rsid w:val="005F7244"/>
    <w:rsid w:val="005F75C0"/>
    <w:rsid w:val="005F7CE5"/>
    <w:rsid w:val="00600EAE"/>
    <w:rsid w:val="00601336"/>
    <w:rsid w:val="006014EC"/>
    <w:rsid w:val="00601729"/>
    <w:rsid w:val="00602061"/>
    <w:rsid w:val="00602BD4"/>
    <w:rsid w:val="0060360D"/>
    <w:rsid w:val="006049D7"/>
    <w:rsid w:val="00604D16"/>
    <w:rsid w:val="006063FF"/>
    <w:rsid w:val="00606671"/>
    <w:rsid w:val="0060791A"/>
    <w:rsid w:val="0061002A"/>
    <w:rsid w:val="00610086"/>
    <w:rsid w:val="0061046C"/>
    <w:rsid w:val="00610AE6"/>
    <w:rsid w:val="0061118A"/>
    <w:rsid w:val="006114EF"/>
    <w:rsid w:val="0061207F"/>
    <w:rsid w:val="00612C18"/>
    <w:rsid w:val="006145E3"/>
    <w:rsid w:val="00614A5B"/>
    <w:rsid w:val="00614C4A"/>
    <w:rsid w:val="00615565"/>
    <w:rsid w:val="00615DBF"/>
    <w:rsid w:val="006161E2"/>
    <w:rsid w:val="0061623A"/>
    <w:rsid w:val="006167BB"/>
    <w:rsid w:val="00616A12"/>
    <w:rsid w:val="00616C48"/>
    <w:rsid w:val="00617365"/>
    <w:rsid w:val="00617B73"/>
    <w:rsid w:val="00617D5B"/>
    <w:rsid w:val="00620070"/>
    <w:rsid w:val="006224AD"/>
    <w:rsid w:val="00622854"/>
    <w:rsid w:val="00622D32"/>
    <w:rsid w:val="0062348B"/>
    <w:rsid w:val="0062444C"/>
    <w:rsid w:val="00624B51"/>
    <w:rsid w:val="00625C47"/>
    <w:rsid w:val="0062609C"/>
    <w:rsid w:val="006260A2"/>
    <w:rsid w:val="00626195"/>
    <w:rsid w:val="00626A9C"/>
    <w:rsid w:val="00627033"/>
    <w:rsid w:val="00627B43"/>
    <w:rsid w:val="00627B4D"/>
    <w:rsid w:val="0063044E"/>
    <w:rsid w:val="00630654"/>
    <w:rsid w:val="00630A0E"/>
    <w:rsid w:val="0063105C"/>
    <w:rsid w:val="006315DF"/>
    <w:rsid w:val="0063183D"/>
    <w:rsid w:val="00631F80"/>
    <w:rsid w:val="00632C99"/>
    <w:rsid w:val="006330F1"/>
    <w:rsid w:val="0063322B"/>
    <w:rsid w:val="00633AB7"/>
    <w:rsid w:val="00633D32"/>
    <w:rsid w:val="00633F3A"/>
    <w:rsid w:val="0063445E"/>
    <w:rsid w:val="00634498"/>
    <w:rsid w:val="006347E8"/>
    <w:rsid w:val="00634A34"/>
    <w:rsid w:val="00635427"/>
    <w:rsid w:val="006354AE"/>
    <w:rsid w:val="00635BDB"/>
    <w:rsid w:val="0063620E"/>
    <w:rsid w:val="0063659E"/>
    <w:rsid w:val="0063714D"/>
    <w:rsid w:val="00642136"/>
    <w:rsid w:val="006439AA"/>
    <w:rsid w:val="00643BDC"/>
    <w:rsid w:val="006444B3"/>
    <w:rsid w:val="00644AF1"/>
    <w:rsid w:val="00644CF8"/>
    <w:rsid w:val="00644D25"/>
    <w:rsid w:val="0064621D"/>
    <w:rsid w:val="00647843"/>
    <w:rsid w:val="00650BD3"/>
    <w:rsid w:val="00651B6F"/>
    <w:rsid w:val="00653ACE"/>
    <w:rsid w:val="00653EFB"/>
    <w:rsid w:val="00655877"/>
    <w:rsid w:val="006564FB"/>
    <w:rsid w:val="00656C92"/>
    <w:rsid w:val="006570ED"/>
    <w:rsid w:val="00657183"/>
    <w:rsid w:val="00660D37"/>
    <w:rsid w:val="006612D6"/>
    <w:rsid w:val="00661443"/>
    <w:rsid w:val="00661B0E"/>
    <w:rsid w:val="006623B9"/>
    <w:rsid w:val="00662459"/>
    <w:rsid w:val="00662574"/>
    <w:rsid w:val="00662CE8"/>
    <w:rsid w:val="006638E2"/>
    <w:rsid w:val="00663E03"/>
    <w:rsid w:val="00663EB1"/>
    <w:rsid w:val="00664802"/>
    <w:rsid w:val="00664852"/>
    <w:rsid w:val="0066490A"/>
    <w:rsid w:val="00664AE6"/>
    <w:rsid w:val="006652C3"/>
    <w:rsid w:val="00667905"/>
    <w:rsid w:val="0066799F"/>
    <w:rsid w:val="006704C3"/>
    <w:rsid w:val="00670943"/>
    <w:rsid w:val="00671607"/>
    <w:rsid w:val="006720DC"/>
    <w:rsid w:val="006721A1"/>
    <w:rsid w:val="006723A9"/>
    <w:rsid w:val="00673A00"/>
    <w:rsid w:val="00673A86"/>
    <w:rsid w:val="00673C60"/>
    <w:rsid w:val="006756DB"/>
    <w:rsid w:val="006761BC"/>
    <w:rsid w:val="00676A94"/>
    <w:rsid w:val="00676DE8"/>
    <w:rsid w:val="006770F0"/>
    <w:rsid w:val="00677286"/>
    <w:rsid w:val="00677659"/>
    <w:rsid w:val="00677C92"/>
    <w:rsid w:val="00680722"/>
    <w:rsid w:val="0068108A"/>
    <w:rsid w:val="00681E4A"/>
    <w:rsid w:val="00682BBB"/>
    <w:rsid w:val="00683428"/>
    <w:rsid w:val="00686D4A"/>
    <w:rsid w:val="0069029A"/>
    <w:rsid w:val="00690474"/>
    <w:rsid w:val="0069087A"/>
    <w:rsid w:val="00690AEE"/>
    <w:rsid w:val="006910DD"/>
    <w:rsid w:val="00691473"/>
    <w:rsid w:val="00691519"/>
    <w:rsid w:val="006915C5"/>
    <w:rsid w:val="00691C77"/>
    <w:rsid w:val="00692202"/>
    <w:rsid w:val="0069291A"/>
    <w:rsid w:val="006933CA"/>
    <w:rsid w:val="006934F4"/>
    <w:rsid w:val="006936A3"/>
    <w:rsid w:val="00693BA0"/>
    <w:rsid w:val="00694E48"/>
    <w:rsid w:val="00695A8F"/>
    <w:rsid w:val="006964E5"/>
    <w:rsid w:val="006966A2"/>
    <w:rsid w:val="006969F1"/>
    <w:rsid w:val="0069753A"/>
    <w:rsid w:val="00697AA4"/>
    <w:rsid w:val="006A00E4"/>
    <w:rsid w:val="006A09B6"/>
    <w:rsid w:val="006A0B0C"/>
    <w:rsid w:val="006A0BD8"/>
    <w:rsid w:val="006A1B6D"/>
    <w:rsid w:val="006A2B9C"/>
    <w:rsid w:val="006A2EE1"/>
    <w:rsid w:val="006A39EE"/>
    <w:rsid w:val="006A3A13"/>
    <w:rsid w:val="006A477F"/>
    <w:rsid w:val="006A5C43"/>
    <w:rsid w:val="006A6640"/>
    <w:rsid w:val="006A6ACF"/>
    <w:rsid w:val="006A746C"/>
    <w:rsid w:val="006B0721"/>
    <w:rsid w:val="006B2262"/>
    <w:rsid w:val="006B2456"/>
    <w:rsid w:val="006B2ADE"/>
    <w:rsid w:val="006B2E6E"/>
    <w:rsid w:val="006B43E3"/>
    <w:rsid w:val="006B43F8"/>
    <w:rsid w:val="006B4AEF"/>
    <w:rsid w:val="006B4C27"/>
    <w:rsid w:val="006B4DAA"/>
    <w:rsid w:val="006B4F53"/>
    <w:rsid w:val="006B5629"/>
    <w:rsid w:val="006B576C"/>
    <w:rsid w:val="006B5B33"/>
    <w:rsid w:val="006B5C37"/>
    <w:rsid w:val="006B6B9D"/>
    <w:rsid w:val="006B7760"/>
    <w:rsid w:val="006C03B5"/>
    <w:rsid w:val="006C1E66"/>
    <w:rsid w:val="006C246F"/>
    <w:rsid w:val="006C3278"/>
    <w:rsid w:val="006C43CA"/>
    <w:rsid w:val="006C539E"/>
    <w:rsid w:val="006C56A4"/>
    <w:rsid w:val="006C58D0"/>
    <w:rsid w:val="006C6ABB"/>
    <w:rsid w:val="006C6F1B"/>
    <w:rsid w:val="006D0265"/>
    <w:rsid w:val="006D0485"/>
    <w:rsid w:val="006D0C50"/>
    <w:rsid w:val="006D1609"/>
    <w:rsid w:val="006D1737"/>
    <w:rsid w:val="006D315E"/>
    <w:rsid w:val="006D4481"/>
    <w:rsid w:val="006D5ABD"/>
    <w:rsid w:val="006D61B9"/>
    <w:rsid w:val="006D6270"/>
    <w:rsid w:val="006D6F73"/>
    <w:rsid w:val="006D7B6C"/>
    <w:rsid w:val="006E1200"/>
    <w:rsid w:val="006E1BA7"/>
    <w:rsid w:val="006E1F4E"/>
    <w:rsid w:val="006E2306"/>
    <w:rsid w:val="006E2329"/>
    <w:rsid w:val="006E2349"/>
    <w:rsid w:val="006E2862"/>
    <w:rsid w:val="006E29D7"/>
    <w:rsid w:val="006E428F"/>
    <w:rsid w:val="006E5079"/>
    <w:rsid w:val="006E68EC"/>
    <w:rsid w:val="006E6AA1"/>
    <w:rsid w:val="006E6B7F"/>
    <w:rsid w:val="006E7A26"/>
    <w:rsid w:val="006E7B0F"/>
    <w:rsid w:val="006F02A7"/>
    <w:rsid w:val="006F0D03"/>
    <w:rsid w:val="006F0EA9"/>
    <w:rsid w:val="006F1463"/>
    <w:rsid w:val="006F1B37"/>
    <w:rsid w:val="006F27E6"/>
    <w:rsid w:val="006F2C50"/>
    <w:rsid w:val="006F338E"/>
    <w:rsid w:val="006F350F"/>
    <w:rsid w:val="006F42C5"/>
    <w:rsid w:val="006F604E"/>
    <w:rsid w:val="006F60BA"/>
    <w:rsid w:val="006F6AC9"/>
    <w:rsid w:val="006F6BA5"/>
    <w:rsid w:val="006F6CB5"/>
    <w:rsid w:val="006F6E42"/>
    <w:rsid w:val="00700505"/>
    <w:rsid w:val="007005AF"/>
    <w:rsid w:val="00700BD4"/>
    <w:rsid w:val="00700C2C"/>
    <w:rsid w:val="00700DB8"/>
    <w:rsid w:val="00701557"/>
    <w:rsid w:val="00701677"/>
    <w:rsid w:val="00702893"/>
    <w:rsid w:val="007029FF"/>
    <w:rsid w:val="00702C5B"/>
    <w:rsid w:val="00704098"/>
    <w:rsid w:val="0070421A"/>
    <w:rsid w:val="00704368"/>
    <w:rsid w:val="00704F3E"/>
    <w:rsid w:val="00705620"/>
    <w:rsid w:val="00706E8D"/>
    <w:rsid w:val="00707317"/>
    <w:rsid w:val="007079DF"/>
    <w:rsid w:val="00710F97"/>
    <w:rsid w:val="007114FC"/>
    <w:rsid w:val="0071176D"/>
    <w:rsid w:val="00712812"/>
    <w:rsid w:val="007131F0"/>
    <w:rsid w:val="007133B0"/>
    <w:rsid w:val="007133C5"/>
    <w:rsid w:val="00713D4C"/>
    <w:rsid w:val="00714521"/>
    <w:rsid w:val="007165D1"/>
    <w:rsid w:val="00717855"/>
    <w:rsid w:val="007204AF"/>
    <w:rsid w:val="00721051"/>
    <w:rsid w:val="0072202B"/>
    <w:rsid w:val="0072242E"/>
    <w:rsid w:val="00722860"/>
    <w:rsid w:val="00722F67"/>
    <w:rsid w:val="0072393D"/>
    <w:rsid w:val="00724574"/>
    <w:rsid w:val="00724BC1"/>
    <w:rsid w:val="007252B0"/>
    <w:rsid w:val="00725B8A"/>
    <w:rsid w:val="00725EC0"/>
    <w:rsid w:val="00726650"/>
    <w:rsid w:val="0072672C"/>
    <w:rsid w:val="00726A21"/>
    <w:rsid w:val="00727D84"/>
    <w:rsid w:val="007313A2"/>
    <w:rsid w:val="00731C83"/>
    <w:rsid w:val="007324DC"/>
    <w:rsid w:val="00732A6A"/>
    <w:rsid w:val="00732DC2"/>
    <w:rsid w:val="00733212"/>
    <w:rsid w:val="00734589"/>
    <w:rsid w:val="007347CF"/>
    <w:rsid w:val="00734A46"/>
    <w:rsid w:val="00734F66"/>
    <w:rsid w:val="00735718"/>
    <w:rsid w:val="007359A6"/>
    <w:rsid w:val="00736009"/>
    <w:rsid w:val="00737003"/>
    <w:rsid w:val="00737124"/>
    <w:rsid w:val="00740A63"/>
    <w:rsid w:val="007414B9"/>
    <w:rsid w:val="00741CD4"/>
    <w:rsid w:val="00741CF6"/>
    <w:rsid w:val="00742669"/>
    <w:rsid w:val="007426CF"/>
    <w:rsid w:val="00742906"/>
    <w:rsid w:val="00742B77"/>
    <w:rsid w:val="007434CD"/>
    <w:rsid w:val="00743714"/>
    <w:rsid w:val="00744004"/>
    <w:rsid w:val="00744140"/>
    <w:rsid w:val="00744693"/>
    <w:rsid w:val="00744A56"/>
    <w:rsid w:val="00745854"/>
    <w:rsid w:val="00745A11"/>
    <w:rsid w:val="00746000"/>
    <w:rsid w:val="0074609D"/>
    <w:rsid w:val="00746728"/>
    <w:rsid w:val="0074685A"/>
    <w:rsid w:val="00746E02"/>
    <w:rsid w:val="00746F77"/>
    <w:rsid w:val="00752BC8"/>
    <w:rsid w:val="00752EB1"/>
    <w:rsid w:val="00753496"/>
    <w:rsid w:val="007535E5"/>
    <w:rsid w:val="00753EB4"/>
    <w:rsid w:val="00754467"/>
    <w:rsid w:val="0075490F"/>
    <w:rsid w:val="00754E6E"/>
    <w:rsid w:val="00756CB4"/>
    <w:rsid w:val="007576E6"/>
    <w:rsid w:val="0076022C"/>
    <w:rsid w:val="00761C30"/>
    <w:rsid w:val="00762A22"/>
    <w:rsid w:val="00763315"/>
    <w:rsid w:val="00763C04"/>
    <w:rsid w:val="00763F77"/>
    <w:rsid w:val="007658CA"/>
    <w:rsid w:val="007659F9"/>
    <w:rsid w:val="00766263"/>
    <w:rsid w:val="00766CB8"/>
    <w:rsid w:val="00766F70"/>
    <w:rsid w:val="00767A4D"/>
    <w:rsid w:val="00767C20"/>
    <w:rsid w:val="00770E23"/>
    <w:rsid w:val="00771A57"/>
    <w:rsid w:val="00773234"/>
    <w:rsid w:val="0077438D"/>
    <w:rsid w:val="00774D0B"/>
    <w:rsid w:val="00775174"/>
    <w:rsid w:val="00775D95"/>
    <w:rsid w:val="007761C6"/>
    <w:rsid w:val="007763BD"/>
    <w:rsid w:val="007767E6"/>
    <w:rsid w:val="00776C26"/>
    <w:rsid w:val="00776C4E"/>
    <w:rsid w:val="00776D86"/>
    <w:rsid w:val="00777206"/>
    <w:rsid w:val="00780425"/>
    <w:rsid w:val="00780C8F"/>
    <w:rsid w:val="00781238"/>
    <w:rsid w:val="00781439"/>
    <w:rsid w:val="00782347"/>
    <w:rsid w:val="0078299A"/>
    <w:rsid w:val="0078316D"/>
    <w:rsid w:val="00783F50"/>
    <w:rsid w:val="00784436"/>
    <w:rsid w:val="00784674"/>
    <w:rsid w:val="00785042"/>
    <w:rsid w:val="00785332"/>
    <w:rsid w:val="0078562A"/>
    <w:rsid w:val="0078645B"/>
    <w:rsid w:val="007868B5"/>
    <w:rsid w:val="00786B32"/>
    <w:rsid w:val="00786FD8"/>
    <w:rsid w:val="0078751A"/>
    <w:rsid w:val="0079022F"/>
    <w:rsid w:val="00791016"/>
    <w:rsid w:val="00791338"/>
    <w:rsid w:val="00791D99"/>
    <w:rsid w:val="00791E01"/>
    <w:rsid w:val="007928A0"/>
    <w:rsid w:val="00792984"/>
    <w:rsid w:val="00792B47"/>
    <w:rsid w:val="007948CA"/>
    <w:rsid w:val="00795395"/>
    <w:rsid w:val="0079539B"/>
    <w:rsid w:val="0079753A"/>
    <w:rsid w:val="00797F0E"/>
    <w:rsid w:val="00797F21"/>
    <w:rsid w:val="007A0D4C"/>
    <w:rsid w:val="007A0D92"/>
    <w:rsid w:val="007A13B2"/>
    <w:rsid w:val="007A2429"/>
    <w:rsid w:val="007A2CEF"/>
    <w:rsid w:val="007A3C1B"/>
    <w:rsid w:val="007A56C2"/>
    <w:rsid w:val="007A5B25"/>
    <w:rsid w:val="007A5C0C"/>
    <w:rsid w:val="007A5DF5"/>
    <w:rsid w:val="007A6D80"/>
    <w:rsid w:val="007A6E14"/>
    <w:rsid w:val="007A70F4"/>
    <w:rsid w:val="007A751E"/>
    <w:rsid w:val="007A7BF3"/>
    <w:rsid w:val="007B1636"/>
    <w:rsid w:val="007B1A52"/>
    <w:rsid w:val="007B357C"/>
    <w:rsid w:val="007B3AB0"/>
    <w:rsid w:val="007B3E6D"/>
    <w:rsid w:val="007B417B"/>
    <w:rsid w:val="007B4306"/>
    <w:rsid w:val="007B440C"/>
    <w:rsid w:val="007B44C1"/>
    <w:rsid w:val="007B469E"/>
    <w:rsid w:val="007B4A02"/>
    <w:rsid w:val="007B5232"/>
    <w:rsid w:val="007B526B"/>
    <w:rsid w:val="007B5E40"/>
    <w:rsid w:val="007B605E"/>
    <w:rsid w:val="007B6619"/>
    <w:rsid w:val="007B70B0"/>
    <w:rsid w:val="007B7754"/>
    <w:rsid w:val="007B7B3B"/>
    <w:rsid w:val="007B7EF5"/>
    <w:rsid w:val="007C10F6"/>
    <w:rsid w:val="007C10FC"/>
    <w:rsid w:val="007C21C4"/>
    <w:rsid w:val="007C26C9"/>
    <w:rsid w:val="007C2C13"/>
    <w:rsid w:val="007C3B6B"/>
    <w:rsid w:val="007C4588"/>
    <w:rsid w:val="007C465A"/>
    <w:rsid w:val="007C4B99"/>
    <w:rsid w:val="007C520A"/>
    <w:rsid w:val="007C54D5"/>
    <w:rsid w:val="007C5ABC"/>
    <w:rsid w:val="007C5F68"/>
    <w:rsid w:val="007C6BC7"/>
    <w:rsid w:val="007C7664"/>
    <w:rsid w:val="007C78D5"/>
    <w:rsid w:val="007C7A0B"/>
    <w:rsid w:val="007C7D25"/>
    <w:rsid w:val="007D0714"/>
    <w:rsid w:val="007D097F"/>
    <w:rsid w:val="007D09B8"/>
    <w:rsid w:val="007D13F9"/>
    <w:rsid w:val="007D142D"/>
    <w:rsid w:val="007D279A"/>
    <w:rsid w:val="007D2BB2"/>
    <w:rsid w:val="007D3278"/>
    <w:rsid w:val="007D3437"/>
    <w:rsid w:val="007D3819"/>
    <w:rsid w:val="007D3A77"/>
    <w:rsid w:val="007D42DF"/>
    <w:rsid w:val="007D5477"/>
    <w:rsid w:val="007D6177"/>
    <w:rsid w:val="007D61C1"/>
    <w:rsid w:val="007D69A8"/>
    <w:rsid w:val="007D6A48"/>
    <w:rsid w:val="007D6C2D"/>
    <w:rsid w:val="007E0718"/>
    <w:rsid w:val="007E0BE5"/>
    <w:rsid w:val="007E0BEB"/>
    <w:rsid w:val="007E0FCD"/>
    <w:rsid w:val="007E1085"/>
    <w:rsid w:val="007E186B"/>
    <w:rsid w:val="007E1F74"/>
    <w:rsid w:val="007E21C1"/>
    <w:rsid w:val="007E22D5"/>
    <w:rsid w:val="007E245C"/>
    <w:rsid w:val="007E266D"/>
    <w:rsid w:val="007E2BA2"/>
    <w:rsid w:val="007E2BE5"/>
    <w:rsid w:val="007E35BA"/>
    <w:rsid w:val="007E35E7"/>
    <w:rsid w:val="007E3CD7"/>
    <w:rsid w:val="007E4978"/>
    <w:rsid w:val="007E55A4"/>
    <w:rsid w:val="007E5650"/>
    <w:rsid w:val="007E571E"/>
    <w:rsid w:val="007E6461"/>
    <w:rsid w:val="007F00BC"/>
    <w:rsid w:val="007F1787"/>
    <w:rsid w:val="007F2189"/>
    <w:rsid w:val="007F250E"/>
    <w:rsid w:val="007F415C"/>
    <w:rsid w:val="007F61ED"/>
    <w:rsid w:val="007F6AC7"/>
    <w:rsid w:val="007F77CC"/>
    <w:rsid w:val="007F7B45"/>
    <w:rsid w:val="00800D24"/>
    <w:rsid w:val="0080151A"/>
    <w:rsid w:val="0080244A"/>
    <w:rsid w:val="00802D7A"/>
    <w:rsid w:val="00802E55"/>
    <w:rsid w:val="008031EE"/>
    <w:rsid w:val="0080327A"/>
    <w:rsid w:val="00803A09"/>
    <w:rsid w:val="008040CB"/>
    <w:rsid w:val="00804F57"/>
    <w:rsid w:val="008061B7"/>
    <w:rsid w:val="008063F5"/>
    <w:rsid w:val="00806F43"/>
    <w:rsid w:val="00807250"/>
    <w:rsid w:val="0080744D"/>
    <w:rsid w:val="00807EEB"/>
    <w:rsid w:val="008106FA"/>
    <w:rsid w:val="0081078A"/>
    <w:rsid w:val="00810D50"/>
    <w:rsid w:val="00811CEC"/>
    <w:rsid w:val="0081277F"/>
    <w:rsid w:val="008129B3"/>
    <w:rsid w:val="008133DB"/>
    <w:rsid w:val="0081381F"/>
    <w:rsid w:val="00813E9D"/>
    <w:rsid w:val="0081475E"/>
    <w:rsid w:val="0081500D"/>
    <w:rsid w:val="008153C2"/>
    <w:rsid w:val="00815CBE"/>
    <w:rsid w:val="00816F0A"/>
    <w:rsid w:val="00817538"/>
    <w:rsid w:val="00817C8C"/>
    <w:rsid w:val="00817FC0"/>
    <w:rsid w:val="008203C4"/>
    <w:rsid w:val="00820DCA"/>
    <w:rsid w:val="00821310"/>
    <w:rsid w:val="00821AF2"/>
    <w:rsid w:val="008232EF"/>
    <w:rsid w:val="00823404"/>
    <w:rsid w:val="008251CF"/>
    <w:rsid w:val="00825CA8"/>
    <w:rsid w:val="00825E9D"/>
    <w:rsid w:val="0082601A"/>
    <w:rsid w:val="00826178"/>
    <w:rsid w:val="0082639F"/>
    <w:rsid w:val="008267B0"/>
    <w:rsid w:val="0082728A"/>
    <w:rsid w:val="00827559"/>
    <w:rsid w:val="008279BA"/>
    <w:rsid w:val="00827C88"/>
    <w:rsid w:val="00827C8E"/>
    <w:rsid w:val="00831B71"/>
    <w:rsid w:val="00832514"/>
    <w:rsid w:val="008333E0"/>
    <w:rsid w:val="00834B3C"/>
    <w:rsid w:val="008353AF"/>
    <w:rsid w:val="00835A93"/>
    <w:rsid w:val="00837D45"/>
    <w:rsid w:val="00837F36"/>
    <w:rsid w:val="00840B80"/>
    <w:rsid w:val="00841AE5"/>
    <w:rsid w:val="00841EA1"/>
    <w:rsid w:val="0084273A"/>
    <w:rsid w:val="008433A4"/>
    <w:rsid w:val="0084396D"/>
    <w:rsid w:val="00843A22"/>
    <w:rsid w:val="00843C0C"/>
    <w:rsid w:val="008447AC"/>
    <w:rsid w:val="008453E5"/>
    <w:rsid w:val="00845899"/>
    <w:rsid w:val="00846F43"/>
    <w:rsid w:val="008478EE"/>
    <w:rsid w:val="0085071D"/>
    <w:rsid w:val="00850D4A"/>
    <w:rsid w:val="00850E29"/>
    <w:rsid w:val="00851350"/>
    <w:rsid w:val="008516FF"/>
    <w:rsid w:val="00851C61"/>
    <w:rsid w:val="00851F15"/>
    <w:rsid w:val="00854CD5"/>
    <w:rsid w:val="00855328"/>
    <w:rsid w:val="00857414"/>
    <w:rsid w:val="008578C6"/>
    <w:rsid w:val="0086015F"/>
    <w:rsid w:val="0086080B"/>
    <w:rsid w:val="00860982"/>
    <w:rsid w:val="00861AA0"/>
    <w:rsid w:val="0086336D"/>
    <w:rsid w:val="00863423"/>
    <w:rsid w:val="008638AD"/>
    <w:rsid w:val="0086396F"/>
    <w:rsid w:val="008645B6"/>
    <w:rsid w:val="0086470C"/>
    <w:rsid w:val="00866FFA"/>
    <w:rsid w:val="00870E00"/>
    <w:rsid w:val="00870E35"/>
    <w:rsid w:val="00871362"/>
    <w:rsid w:val="008714F4"/>
    <w:rsid w:val="008718EF"/>
    <w:rsid w:val="00871912"/>
    <w:rsid w:val="00871D8D"/>
    <w:rsid w:val="00872B66"/>
    <w:rsid w:val="00873725"/>
    <w:rsid w:val="00873FBF"/>
    <w:rsid w:val="00875028"/>
    <w:rsid w:val="00875B98"/>
    <w:rsid w:val="00875E7D"/>
    <w:rsid w:val="00875ED0"/>
    <w:rsid w:val="0087611F"/>
    <w:rsid w:val="00876829"/>
    <w:rsid w:val="00876D9E"/>
    <w:rsid w:val="00877073"/>
    <w:rsid w:val="00880AF2"/>
    <w:rsid w:val="008813D3"/>
    <w:rsid w:val="00881959"/>
    <w:rsid w:val="00881CFA"/>
    <w:rsid w:val="00882A45"/>
    <w:rsid w:val="00883037"/>
    <w:rsid w:val="008832BB"/>
    <w:rsid w:val="00883CC7"/>
    <w:rsid w:val="00883D6D"/>
    <w:rsid w:val="008843FA"/>
    <w:rsid w:val="00884528"/>
    <w:rsid w:val="00884D51"/>
    <w:rsid w:val="00885E80"/>
    <w:rsid w:val="00885E82"/>
    <w:rsid w:val="00885FF5"/>
    <w:rsid w:val="0088688A"/>
    <w:rsid w:val="00886EC8"/>
    <w:rsid w:val="00886EFE"/>
    <w:rsid w:val="008871FE"/>
    <w:rsid w:val="0088753D"/>
    <w:rsid w:val="00887C15"/>
    <w:rsid w:val="00890646"/>
    <w:rsid w:val="008906B8"/>
    <w:rsid w:val="00890C88"/>
    <w:rsid w:val="00890EC8"/>
    <w:rsid w:val="008910B4"/>
    <w:rsid w:val="0089191B"/>
    <w:rsid w:val="00892048"/>
    <w:rsid w:val="00893738"/>
    <w:rsid w:val="008937D6"/>
    <w:rsid w:val="008949A8"/>
    <w:rsid w:val="00894E73"/>
    <w:rsid w:val="008958EC"/>
    <w:rsid w:val="00895A25"/>
    <w:rsid w:val="0089670F"/>
    <w:rsid w:val="008A159A"/>
    <w:rsid w:val="008A19A1"/>
    <w:rsid w:val="008A1D54"/>
    <w:rsid w:val="008A248A"/>
    <w:rsid w:val="008A2AC2"/>
    <w:rsid w:val="008A2B1A"/>
    <w:rsid w:val="008A32C1"/>
    <w:rsid w:val="008A3673"/>
    <w:rsid w:val="008A3E41"/>
    <w:rsid w:val="008A3EF4"/>
    <w:rsid w:val="008A4117"/>
    <w:rsid w:val="008A4F4E"/>
    <w:rsid w:val="008A5918"/>
    <w:rsid w:val="008A591A"/>
    <w:rsid w:val="008A5CD9"/>
    <w:rsid w:val="008A6359"/>
    <w:rsid w:val="008A7211"/>
    <w:rsid w:val="008A7E05"/>
    <w:rsid w:val="008B0914"/>
    <w:rsid w:val="008B0CBE"/>
    <w:rsid w:val="008B100A"/>
    <w:rsid w:val="008B12CE"/>
    <w:rsid w:val="008B1705"/>
    <w:rsid w:val="008B1A58"/>
    <w:rsid w:val="008B2246"/>
    <w:rsid w:val="008B24AC"/>
    <w:rsid w:val="008B2751"/>
    <w:rsid w:val="008B2A0A"/>
    <w:rsid w:val="008B328C"/>
    <w:rsid w:val="008B33B1"/>
    <w:rsid w:val="008B3B5E"/>
    <w:rsid w:val="008B4091"/>
    <w:rsid w:val="008B5020"/>
    <w:rsid w:val="008B5395"/>
    <w:rsid w:val="008B57A6"/>
    <w:rsid w:val="008B5EAF"/>
    <w:rsid w:val="008B6A59"/>
    <w:rsid w:val="008B788A"/>
    <w:rsid w:val="008C0218"/>
    <w:rsid w:val="008C103E"/>
    <w:rsid w:val="008C1318"/>
    <w:rsid w:val="008C1A56"/>
    <w:rsid w:val="008C1AB8"/>
    <w:rsid w:val="008C1BA9"/>
    <w:rsid w:val="008C230C"/>
    <w:rsid w:val="008C2870"/>
    <w:rsid w:val="008C3851"/>
    <w:rsid w:val="008C4A4B"/>
    <w:rsid w:val="008C4F56"/>
    <w:rsid w:val="008C676E"/>
    <w:rsid w:val="008C68AD"/>
    <w:rsid w:val="008C778D"/>
    <w:rsid w:val="008D00A3"/>
    <w:rsid w:val="008D049F"/>
    <w:rsid w:val="008D0EFB"/>
    <w:rsid w:val="008D1287"/>
    <w:rsid w:val="008D197C"/>
    <w:rsid w:val="008D1A24"/>
    <w:rsid w:val="008D1A52"/>
    <w:rsid w:val="008D1B5F"/>
    <w:rsid w:val="008D237F"/>
    <w:rsid w:val="008D2634"/>
    <w:rsid w:val="008D2BC5"/>
    <w:rsid w:val="008D3E24"/>
    <w:rsid w:val="008D5760"/>
    <w:rsid w:val="008D5B6F"/>
    <w:rsid w:val="008D5DCC"/>
    <w:rsid w:val="008D7680"/>
    <w:rsid w:val="008D7EBA"/>
    <w:rsid w:val="008E0AD7"/>
    <w:rsid w:val="008E14AC"/>
    <w:rsid w:val="008E3976"/>
    <w:rsid w:val="008E3A59"/>
    <w:rsid w:val="008E3BA1"/>
    <w:rsid w:val="008E3EDC"/>
    <w:rsid w:val="008E4667"/>
    <w:rsid w:val="008E4950"/>
    <w:rsid w:val="008E4E86"/>
    <w:rsid w:val="008E5C67"/>
    <w:rsid w:val="008E6140"/>
    <w:rsid w:val="008E633C"/>
    <w:rsid w:val="008E6860"/>
    <w:rsid w:val="008E7D06"/>
    <w:rsid w:val="008F060E"/>
    <w:rsid w:val="008F0E4E"/>
    <w:rsid w:val="008F12FB"/>
    <w:rsid w:val="008F2C3B"/>
    <w:rsid w:val="008F30C6"/>
    <w:rsid w:val="008F5F41"/>
    <w:rsid w:val="008F67D9"/>
    <w:rsid w:val="008F6892"/>
    <w:rsid w:val="008F6C72"/>
    <w:rsid w:val="008F70C0"/>
    <w:rsid w:val="008F7E2A"/>
    <w:rsid w:val="0090137F"/>
    <w:rsid w:val="00901FE8"/>
    <w:rsid w:val="0090205A"/>
    <w:rsid w:val="009022AB"/>
    <w:rsid w:val="00902EE1"/>
    <w:rsid w:val="009032D5"/>
    <w:rsid w:val="009036A7"/>
    <w:rsid w:val="00904081"/>
    <w:rsid w:val="009059F2"/>
    <w:rsid w:val="00905FD4"/>
    <w:rsid w:val="00907387"/>
    <w:rsid w:val="00910A6B"/>
    <w:rsid w:val="00910F09"/>
    <w:rsid w:val="00911466"/>
    <w:rsid w:val="00911BD9"/>
    <w:rsid w:val="00911CC7"/>
    <w:rsid w:val="00911EF2"/>
    <w:rsid w:val="009123F8"/>
    <w:rsid w:val="00912BBD"/>
    <w:rsid w:val="009136B0"/>
    <w:rsid w:val="009149CC"/>
    <w:rsid w:val="00915A61"/>
    <w:rsid w:val="00915D68"/>
    <w:rsid w:val="00915E55"/>
    <w:rsid w:val="00917076"/>
    <w:rsid w:val="00917D54"/>
    <w:rsid w:val="009208DE"/>
    <w:rsid w:val="00920AA7"/>
    <w:rsid w:val="009217CE"/>
    <w:rsid w:val="00921859"/>
    <w:rsid w:val="009218F0"/>
    <w:rsid w:val="00922A69"/>
    <w:rsid w:val="00922E39"/>
    <w:rsid w:val="009239B1"/>
    <w:rsid w:val="00923B28"/>
    <w:rsid w:val="0092433C"/>
    <w:rsid w:val="00924B3B"/>
    <w:rsid w:val="00925A2A"/>
    <w:rsid w:val="00927313"/>
    <w:rsid w:val="009276E0"/>
    <w:rsid w:val="00927E56"/>
    <w:rsid w:val="00930C54"/>
    <w:rsid w:val="00931147"/>
    <w:rsid w:val="009323BC"/>
    <w:rsid w:val="009324B6"/>
    <w:rsid w:val="009328A2"/>
    <w:rsid w:val="00932FCD"/>
    <w:rsid w:val="00933B9F"/>
    <w:rsid w:val="00934B1B"/>
    <w:rsid w:val="00934D76"/>
    <w:rsid w:val="00935210"/>
    <w:rsid w:val="00935D84"/>
    <w:rsid w:val="00936E0D"/>
    <w:rsid w:val="0093744A"/>
    <w:rsid w:val="00940179"/>
    <w:rsid w:val="009408AB"/>
    <w:rsid w:val="00940DF1"/>
    <w:rsid w:val="0094162F"/>
    <w:rsid w:val="009421C3"/>
    <w:rsid w:val="00942D21"/>
    <w:rsid w:val="00942FE4"/>
    <w:rsid w:val="00943E10"/>
    <w:rsid w:val="0094405E"/>
    <w:rsid w:val="009441D8"/>
    <w:rsid w:val="0094457F"/>
    <w:rsid w:val="0094471E"/>
    <w:rsid w:val="00944873"/>
    <w:rsid w:val="00945D6A"/>
    <w:rsid w:val="00946402"/>
    <w:rsid w:val="00946CDB"/>
    <w:rsid w:val="009473BC"/>
    <w:rsid w:val="0094755C"/>
    <w:rsid w:val="00947C61"/>
    <w:rsid w:val="00950155"/>
    <w:rsid w:val="00950B41"/>
    <w:rsid w:val="00950C9F"/>
    <w:rsid w:val="00951420"/>
    <w:rsid w:val="0095158D"/>
    <w:rsid w:val="0095224A"/>
    <w:rsid w:val="00954377"/>
    <w:rsid w:val="00954428"/>
    <w:rsid w:val="00954E29"/>
    <w:rsid w:val="00954F00"/>
    <w:rsid w:val="00955AF8"/>
    <w:rsid w:val="00956941"/>
    <w:rsid w:val="00956A93"/>
    <w:rsid w:val="00957AAC"/>
    <w:rsid w:val="0096015F"/>
    <w:rsid w:val="00960DF5"/>
    <w:rsid w:val="00960EB5"/>
    <w:rsid w:val="00960FA4"/>
    <w:rsid w:val="00961175"/>
    <w:rsid w:val="009615E6"/>
    <w:rsid w:val="0096173D"/>
    <w:rsid w:val="009628A5"/>
    <w:rsid w:val="00962DE9"/>
    <w:rsid w:val="00965CC4"/>
    <w:rsid w:val="00966851"/>
    <w:rsid w:val="009715AE"/>
    <w:rsid w:val="009715CD"/>
    <w:rsid w:val="00971673"/>
    <w:rsid w:val="0097189F"/>
    <w:rsid w:val="00971E96"/>
    <w:rsid w:val="00972AF1"/>
    <w:rsid w:val="00973AB6"/>
    <w:rsid w:val="00974316"/>
    <w:rsid w:val="0097485E"/>
    <w:rsid w:val="00974B68"/>
    <w:rsid w:val="00974DD9"/>
    <w:rsid w:val="00975727"/>
    <w:rsid w:val="00975DA9"/>
    <w:rsid w:val="00976631"/>
    <w:rsid w:val="00976EFC"/>
    <w:rsid w:val="00977AC2"/>
    <w:rsid w:val="00977CBE"/>
    <w:rsid w:val="00980387"/>
    <w:rsid w:val="0098048A"/>
    <w:rsid w:val="0098127F"/>
    <w:rsid w:val="00982DEE"/>
    <w:rsid w:val="00983545"/>
    <w:rsid w:val="009845A6"/>
    <w:rsid w:val="00984CD1"/>
    <w:rsid w:val="0098629C"/>
    <w:rsid w:val="009866EF"/>
    <w:rsid w:val="009869DA"/>
    <w:rsid w:val="00986A84"/>
    <w:rsid w:val="00987B72"/>
    <w:rsid w:val="00990799"/>
    <w:rsid w:val="009913D3"/>
    <w:rsid w:val="009916E9"/>
    <w:rsid w:val="00991763"/>
    <w:rsid w:val="00991A31"/>
    <w:rsid w:val="00993DA1"/>
    <w:rsid w:val="00994BAF"/>
    <w:rsid w:val="009955F9"/>
    <w:rsid w:val="009955FF"/>
    <w:rsid w:val="00995D0C"/>
    <w:rsid w:val="0099638F"/>
    <w:rsid w:val="009967FE"/>
    <w:rsid w:val="009A116B"/>
    <w:rsid w:val="009A2D25"/>
    <w:rsid w:val="009A3A41"/>
    <w:rsid w:val="009A3DAD"/>
    <w:rsid w:val="009A4A33"/>
    <w:rsid w:val="009A5FEF"/>
    <w:rsid w:val="009A6FD6"/>
    <w:rsid w:val="009A7250"/>
    <w:rsid w:val="009B0393"/>
    <w:rsid w:val="009B08E3"/>
    <w:rsid w:val="009B0D49"/>
    <w:rsid w:val="009B1520"/>
    <w:rsid w:val="009B309D"/>
    <w:rsid w:val="009B4080"/>
    <w:rsid w:val="009B4E61"/>
    <w:rsid w:val="009B5717"/>
    <w:rsid w:val="009B75C4"/>
    <w:rsid w:val="009B7F93"/>
    <w:rsid w:val="009C0431"/>
    <w:rsid w:val="009C0D8D"/>
    <w:rsid w:val="009C1630"/>
    <w:rsid w:val="009C1B8E"/>
    <w:rsid w:val="009C4F1B"/>
    <w:rsid w:val="009C4FE6"/>
    <w:rsid w:val="009C50EF"/>
    <w:rsid w:val="009C529E"/>
    <w:rsid w:val="009C5358"/>
    <w:rsid w:val="009C5581"/>
    <w:rsid w:val="009C6077"/>
    <w:rsid w:val="009C659B"/>
    <w:rsid w:val="009C6F78"/>
    <w:rsid w:val="009C7F0C"/>
    <w:rsid w:val="009D0024"/>
    <w:rsid w:val="009D007B"/>
    <w:rsid w:val="009D02DC"/>
    <w:rsid w:val="009D1870"/>
    <w:rsid w:val="009D20ED"/>
    <w:rsid w:val="009D20EF"/>
    <w:rsid w:val="009D2463"/>
    <w:rsid w:val="009D35F1"/>
    <w:rsid w:val="009D3A6B"/>
    <w:rsid w:val="009D3CAB"/>
    <w:rsid w:val="009D3D51"/>
    <w:rsid w:val="009D3E7D"/>
    <w:rsid w:val="009D44AA"/>
    <w:rsid w:val="009D6ADF"/>
    <w:rsid w:val="009D6E6C"/>
    <w:rsid w:val="009D6E97"/>
    <w:rsid w:val="009D70B8"/>
    <w:rsid w:val="009D775B"/>
    <w:rsid w:val="009E0055"/>
    <w:rsid w:val="009E1B08"/>
    <w:rsid w:val="009E2E11"/>
    <w:rsid w:val="009E3B3C"/>
    <w:rsid w:val="009E3B96"/>
    <w:rsid w:val="009E637B"/>
    <w:rsid w:val="009E68AA"/>
    <w:rsid w:val="009E797A"/>
    <w:rsid w:val="009E7CC7"/>
    <w:rsid w:val="009E7ED0"/>
    <w:rsid w:val="009F08A0"/>
    <w:rsid w:val="009F0BE9"/>
    <w:rsid w:val="009F1998"/>
    <w:rsid w:val="009F2256"/>
    <w:rsid w:val="009F24CF"/>
    <w:rsid w:val="009F3352"/>
    <w:rsid w:val="009F4B17"/>
    <w:rsid w:val="009F4D04"/>
    <w:rsid w:val="009F5F21"/>
    <w:rsid w:val="009F636D"/>
    <w:rsid w:val="009F709C"/>
    <w:rsid w:val="009F7237"/>
    <w:rsid w:val="009F7E3C"/>
    <w:rsid w:val="00A00BA9"/>
    <w:rsid w:val="00A01418"/>
    <w:rsid w:val="00A01685"/>
    <w:rsid w:val="00A01B2A"/>
    <w:rsid w:val="00A01F1B"/>
    <w:rsid w:val="00A01F69"/>
    <w:rsid w:val="00A0211C"/>
    <w:rsid w:val="00A02B3B"/>
    <w:rsid w:val="00A02E8C"/>
    <w:rsid w:val="00A02ED7"/>
    <w:rsid w:val="00A03BF2"/>
    <w:rsid w:val="00A04B3B"/>
    <w:rsid w:val="00A052F9"/>
    <w:rsid w:val="00A0585D"/>
    <w:rsid w:val="00A05C20"/>
    <w:rsid w:val="00A060F9"/>
    <w:rsid w:val="00A0665F"/>
    <w:rsid w:val="00A0710C"/>
    <w:rsid w:val="00A07B8B"/>
    <w:rsid w:val="00A10A1D"/>
    <w:rsid w:val="00A1128A"/>
    <w:rsid w:val="00A11950"/>
    <w:rsid w:val="00A13A26"/>
    <w:rsid w:val="00A13AA1"/>
    <w:rsid w:val="00A14861"/>
    <w:rsid w:val="00A1496B"/>
    <w:rsid w:val="00A14D6F"/>
    <w:rsid w:val="00A15226"/>
    <w:rsid w:val="00A154A0"/>
    <w:rsid w:val="00A17399"/>
    <w:rsid w:val="00A17771"/>
    <w:rsid w:val="00A203D0"/>
    <w:rsid w:val="00A204FC"/>
    <w:rsid w:val="00A2163F"/>
    <w:rsid w:val="00A21647"/>
    <w:rsid w:val="00A21961"/>
    <w:rsid w:val="00A21EDB"/>
    <w:rsid w:val="00A223CB"/>
    <w:rsid w:val="00A2394A"/>
    <w:rsid w:val="00A23C58"/>
    <w:rsid w:val="00A23D73"/>
    <w:rsid w:val="00A2405F"/>
    <w:rsid w:val="00A24A8F"/>
    <w:rsid w:val="00A25294"/>
    <w:rsid w:val="00A252E9"/>
    <w:rsid w:val="00A2539B"/>
    <w:rsid w:val="00A25BCD"/>
    <w:rsid w:val="00A27238"/>
    <w:rsid w:val="00A276C1"/>
    <w:rsid w:val="00A27A30"/>
    <w:rsid w:val="00A27FE5"/>
    <w:rsid w:val="00A3077F"/>
    <w:rsid w:val="00A31513"/>
    <w:rsid w:val="00A31F79"/>
    <w:rsid w:val="00A32075"/>
    <w:rsid w:val="00A3225B"/>
    <w:rsid w:val="00A325DE"/>
    <w:rsid w:val="00A33161"/>
    <w:rsid w:val="00A334DC"/>
    <w:rsid w:val="00A33659"/>
    <w:rsid w:val="00A33C7A"/>
    <w:rsid w:val="00A33E25"/>
    <w:rsid w:val="00A33E81"/>
    <w:rsid w:val="00A33EC9"/>
    <w:rsid w:val="00A34B9F"/>
    <w:rsid w:val="00A34D4D"/>
    <w:rsid w:val="00A352E1"/>
    <w:rsid w:val="00A352EA"/>
    <w:rsid w:val="00A36C6B"/>
    <w:rsid w:val="00A3751A"/>
    <w:rsid w:val="00A37AFA"/>
    <w:rsid w:val="00A406E4"/>
    <w:rsid w:val="00A40B1A"/>
    <w:rsid w:val="00A40FB8"/>
    <w:rsid w:val="00A418D1"/>
    <w:rsid w:val="00A425F1"/>
    <w:rsid w:val="00A440DB"/>
    <w:rsid w:val="00A445AB"/>
    <w:rsid w:val="00A4544A"/>
    <w:rsid w:val="00A4578B"/>
    <w:rsid w:val="00A45C55"/>
    <w:rsid w:val="00A45F2D"/>
    <w:rsid w:val="00A467A4"/>
    <w:rsid w:val="00A51286"/>
    <w:rsid w:val="00A514D3"/>
    <w:rsid w:val="00A51609"/>
    <w:rsid w:val="00A516AA"/>
    <w:rsid w:val="00A517DE"/>
    <w:rsid w:val="00A51EF4"/>
    <w:rsid w:val="00A52023"/>
    <w:rsid w:val="00A522E5"/>
    <w:rsid w:val="00A53A02"/>
    <w:rsid w:val="00A5418B"/>
    <w:rsid w:val="00A5443F"/>
    <w:rsid w:val="00A5547B"/>
    <w:rsid w:val="00A55E55"/>
    <w:rsid w:val="00A56EA9"/>
    <w:rsid w:val="00A57599"/>
    <w:rsid w:val="00A60593"/>
    <w:rsid w:val="00A60F8E"/>
    <w:rsid w:val="00A61376"/>
    <w:rsid w:val="00A617F4"/>
    <w:rsid w:val="00A61F49"/>
    <w:rsid w:val="00A64FE9"/>
    <w:rsid w:val="00A6697B"/>
    <w:rsid w:val="00A66CB1"/>
    <w:rsid w:val="00A66E63"/>
    <w:rsid w:val="00A7000A"/>
    <w:rsid w:val="00A7039E"/>
    <w:rsid w:val="00A7073D"/>
    <w:rsid w:val="00A7073E"/>
    <w:rsid w:val="00A709BA"/>
    <w:rsid w:val="00A70F55"/>
    <w:rsid w:val="00A71381"/>
    <w:rsid w:val="00A714D8"/>
    <w:rsid w:val="00A7245F"/>
    <w:rsid w:val="00A727F3"/>
    <w:rsid w:val="00A7354D"/>
    <w:rsid w:val="00A74820"/>
    <w:rsid w:val="00A75373"/>
    <w:rsid w:val="00A759A4"/>
    <w:rsid w:val="00A75AD7"/>
    <w:rsid w:val="00A771EA"/>
    <w:rsid w:val="00A7753B"/>
    <w:rsid w:val="00A802C3"/>
    <w:rsid w:val="00A80387"/>
    <w:rsid w:val="00A8043E"/>
    <w:rsid w:val="00A817AF"/>
    <w:rsid w:val="00A81F10"/>
    <w:rsid w:val="00A820B8"/>
    <w:rsid w:val="00A824FB"/>
    <w:rsid w:val="00A8260D"/>
    <w:rsid w:val="00A82776"/>
    <w:rsid w:val="00A8342A"/>
    <w:rsid w:val="00A842D2"/>
    <w:rsid w:val="00A8454A"/>
    <w:rsid w:val="00A8546D"/>
    <w:rsid w:val="00A85CED"/>
    <w:rsid w:val="00A86673"/>
    <w:rsid w:val="00A867D3"/>
    <w:rsid w:val="00A868BC"/>
    <w:rsid w:val="00A86E8C"/>
    <w:rsid w:val="00A8709F"/>
    <w:rsid w:val="00A9080B"/>
    <w:rsid w:val="00A92BA9"/>
    <w:rsid w:val="00A9314C"/>
    <w:rsid w:val="00A93E3D"/>
    <w:rsid w:val="00A94097"/>
    <w:rsid w:val="00A942A2"/>
    <w:rsid w:val="00A94B98"/>
    <w:rsid w:val="00A96A3B"/>
    <w:rsid w:val="00A96B7F"/>
    <w:rsid w:val="00A97C53"/>
    <w:rsid w:val="00AA05ED"/>
    <w:rsid w:val="00AA08E7"/>
    <w:rsid w:val="00AA0E54"/>
    <w:rsid w:val="00AA0FFA"/>
    <w:rsid w:val="00AA2362"/>
    <w:rsid w:val="00AA34C4"/>
    <w:rsid w:val="00AA352B"/>
    <w:rsid w:val="00AA353F"/>
    <w:rsid w:val="00AA3954"/>
    <w:rsid w:val="00AA3F58"/>
    <w:rsid w:val="00AA417E"/>
    <w:rsid w:val="00AA4309"/>
    <w:rsid w:val="00AA4333"/>
    <w:rsid w:val="00AA5C4C"/>
    <w:rsid w:val="00AA6116"/>
    <w:rsid w:val="00AA6D8A"/>
    <w:rsid w:val="00AA7469"/>
    <w:rsid w:val="00AA7E34"/>
    <w:rsid w:val="00AB0220"/>
    <w:rsid w:val="00AB0381"/>
    <w:rsid w:val="00AB07D0"/>
    <w:rsid w:val="00AB0961"/>
    <w:rsid w:val="00AB0B9C"/>
    <w:rsid w:val="00AB10CB"/>
    <w:rsid w:val="00AB14A4"/>
    <w:rsid w:val="00AB1EB7"/>
    <w:rsid w:val="00AB2477"/>
    <w:rsid w:val="00AB2536"/>
    <w:rsid w:val="00AB2543"/>
    <w:rsid w:val="00AB2830"/>
    <w:rsid w:val="00AB3898"/>
    <w:rsid w:val="00AB3B0E"/>
    <w:rsid w:val="00AB401C"/>
    <w:rsid w:val="00AB4386"/>
    <w:rsid w:val="00AB475D"/>
    <w:rsid w:val="00AB4AE7"/>
    <w:rsid w:val="00AB54CF"/>
    <w:rsid w:val="00AB6785"/>
    <w:rsid w:val="00AB6A76"/>
    <w:rsid w:val="00AB72BC"/>
    <w:rsid w:val="00AB7F17"/>
    <w:rsid w:val="00AC31D2"/>
    <w:rsid w:val="00AC391C"/>
    <w:rsid w:val="00AC4784"/>
    <w:rsid w:val="00AC4932"/>
    <w:rsid w:val="00AC4A5E"/>
    <w:rsid w:val="00AC4E92"/>
    <w:rsid w:val="00AC4FD5"/>
    <w:rsid w:val="00AC5239"/>
    <w:rsid w:val="00AC593E"/>
    <w:rsid w:val="00AC70D3"/>
    <w:rsid w:val="00AD1F6D"/>
    <w:rsid w:val="00AD2023"/>
    <w:rsid w:val="00AD4B0E"/>
    <w:rsid w:val="00AD5518"/>
    <w:rsid w:val="00AD5592"/>
    <w:rsid w:val="00AD5BB9"/>
    <w:rsid w:val="00AD68C8"/>
    <w:rsid w:val="00AD70C8"/>
    <w:rsid w:val="00AE0A84"/>
    <w:rsid w:val="00AE1119"/>
    <w:rsid w:val="00AE1CE3"/>
    <w:rsid w:val="00AE22A4"/>
    <w:rsid w:val="00AE29C2"/>
    <w:rsid w:val="00AE3D2D"/>
    <w:rsid w:val="00AE49A4"/>
    <w:rsid w:val="00AE50C6"/>
    <w:rsid w:val="00AE5358"/>
    <w:rsid w:val="00AE57C7"/>
    <w:rsid w:val="00AE60CC"/>
    <w:rsid w:val="00AE6FDA"/>
    <w:rsid w:val="00AE7089"/>
    <w:rsid w:val="00AE7AEA"/>
    <w:rsid w:val="00AE7D51"/>
    <w:rsid w:val="00AF08BE"/>
    <w:rsid w:val="00AF0FCB"/>
    <w:rsid w:val="00AF116F"/>
    <w:rsid w:val="00AF1DF1"/>
    <w:rsid w:val="00AF26B5"/>
    <w:rsid w:val="00AF2A8C"/>
    <w:rsid w:val="00AF2AC6"/>
    <w:rsid w:val="00AF2D02"/>
    <w:rsid w:val="00AF2FAF"/>
    <w:rsid w:val="00AF3867"/>
    <w:rsid w:val="00AF38AD"/>
    <w:rsid w:val="00AF448B"/>
    <w:rsid w:val="00AF49F7"/>
    <w:rsid w:val="00AF52E3"/>
    <w:rsid w:val="00AF543C"/>
    <w:rsid w:val="00AF6222"/>
    <w:rsid w:val="00AF6D44"/>
    <w:rsid w:val="00AF78F3"/>
    <w:rsid w:val="00B007D7"/>
    <w:rsid w:val="00B00880"/>
    <w:rsid w:val="00B008D5"/>
    <w:rsid w:val="00B01EC3"/>
    <w:rsid w:val="00B03D56"/>
    <w:rsid w:val="00B041CC"/>
    <w:rsid w:val="00B04384"/>
    <w:rsid w:val="00B05CFB"/>
    <w:rsid w:val="00B0603F"/>
    <w:rsid w:val="00B06394"/>
    <w:rsid w:val="00B066E0"/>
    <w:rsid w:val="00B0789F"/>
    <w:rsid w:val="00B0791E"/>
    <w:rsid w:val="00B07CD9"/>
    <w:rsid w:val="00B07D6E"/>
    <w:rsid w:val="00B07DA6"/>
    <w:rsid w:val="00B10BB1"/>
    <w:rsid w:val="00B11E36"/>
    <w:rsid w:val="00B12306"/>
    <w:rsid w:val="00B12596"/>
    <w:rsid w:val="00B1281E"/>
    <w:rsid w:val="00B13636"/>
    <w:rsid w:val="00B152DF"/>
    <w:rsid w:val="00B15C77"/>
    <w:rsid w:val="00B16C98"/>
    <w:rsid w:val="00B1717C"/>
    <w:rsid w:val="00B206AC"/>
    <w:rsid w:val="00B20992"/>
    <w:rsid w:val="00B20AE2"/>
    <w:rsid w:val="00B21794"/>
    <w:rsid w:val="00B2220E"/>
    <w:rsid w:val="00B223CE"/>
    <w:rsid w:val="00B246FF"/>
    <w:rsid w:val="00B2473F"/>
    <w:rsid w:val="00B248E2"/>
    <w:rsid w:val="00B254D6"/>
    <w:rsid w:val="00B2658D"/>
    <w:rsid w:val="00B26A96"/>
    <w:rsid w:val="00B26CB1"/>
    <w:rsid w:val="00B27F72"/>
    <w:rsid w:val="00B3065E"/>
    <w:rsid w:val="00B311D2"/>
    <w:rsid w:val="00B3152B"/>
    <w:rsid w:val="00B31AE0"/>
    <w:rsid w:val="00B31BCA"/>
    <w:rsid w:val="00B3207C"/>
    <w:rsid w:val="00B329B8"/>
    <w:rsid w:val="00B32ED4"/>
    <w:rsid w:val="00B3347B"/>
    <w:rsid w:val="00B3386A"/>
    <w:rsid w:val="00B3396B"/>
    <w:rsid w:val="00B33BFA"/>
    <w:rsid w:val="00B3439F"/>
    <w:rsid w:val="00B34674"/>
    <w:rsid w:val="00B34D25"/>
    <w:rsid w:val="00B353D5"/>
    <w:rsid w:val="00B35460"/>
    <w:rsid w:val="00B3576C"/>
    <w:rsid w:val="00B35B37"/>
    <w:rsid w:val="00B3621F"/>
    <w:rsid w:val="00B369E0"/>
    <w:rsid w:val="00B40DC7"/>
    <w:rsid w:val="00B41110"/>
    <w:rsid w:val="00B4185E"/>
    <w:rsid w:val="00B41BF0"/>
    <w:rsid w:val="00B41E82"/>
    <w:rsid w:val="00B42112"/>
    <w:rsid w:val="00B430E5"/>
    <w:rsid w:val="00B44A92"/>
    <w:rsid w:val="00B44B6A"/>
    <w:rsid w:val="00B44FB3"/>
    <w:rsid w:val="00B451BA"/>
    <w:rsid w:val="00B45341"/>
    <w:rsid w:val="00B45B72"/>
    <w:rsid w:val="00B45EC4"/>
    <w:rsid w:val="00B46F85"/>
    <w:rsid w:val="00B478E4"/>
    <w:rsid w:val="00B50BC1"/>
    <w:rsid w:val="00B50DE0"/>
    <w:rsid w:val="00B5145D"/>
    <w:rsid w:val="00B51D8E"/>
    <w:rsid w:val="00B520A7"/>
    <w:rsid w:val="00B531EC"/>
    <w:rsid w:val="00B533AB"/>
    <w:rsid w:val="00B537DE"/>
    <w:rsid w:val="00B54811"/>
    <w:rsid w:val="00B54E1C"/>
    <w:rsid w:val="00B55288"/>
    <w:rsid w:val="00B5584D"/>
    <w:rsid w:val="00B57040"/>
    <w:rsid w:val="00B57C25"/>
    <w:rsid w:val="00B6118B"/>
    <w:rsid w:val="00B6127A"/>
    <w:rsid w:val="00B61852"/>
    <w:rsid w:val="00B62117"/>
    <w:rsid w:val="00B62683"/>
    <w:rsid w:val="00B63231"/>
    <w:rsid w:val="00B63B07"/>
    <w:rsid w:val="00B63C14"/>
    <w:rsid w:val="00B63CB4"/>
    <w:rsid w:val="00B64266"/>
    <w:rsid w:val="00B649B9"/>
    <w:rsid w:val="00B64B36"/>
    <w:rsid w:val="00B65829"/>
    <w:rsid w:val="00B65998"/>
    <w:rsid w:val="00B66168"/>
    <w:rsid w:val="00B66758"/>
    <w:rsid w:val="00B66D3A"/>
    <w:rsid w:val="00B66D84"/>
    <w:rsid w:val="00B670C0"/>
    <w:rsid w:val="00B7079C"/>
    <w:rsid w:val="00B71919"/>
    <w:rsid w:val="00B725F9"/>
    <w:rsid w:val="00B73458"/>
    <w:rsid w:val="00B734A7"/>
    <w:rsid w:val="00B7437B"/>
    <w:rsid w:val="00B7439D"/>
    <w:rsid w:val="00B748B0"/>
    <w:rsid w:val="00B75058"/>
    <w:rsid w:val="00B75A72"/>
    <w:rsid w:val="00B769CF"/>
    <w:rsid w:val="00B76EC3"/>
    <w:rsid w:val="00B770A7"/>
    <w:rsid w:val="00B77C2F"/>
    <w:rsid w:val="00B8071F"/>
    <w:rsid w:val="00B80C2A"/>
    <w:rsid w:val="00B80F48"/>
    <w:rsid w:val="00B8182F"/>
    <w:rsid w:val="00B82BDA"/>
    <w:rsid w:val="00B82E3F"/>
    <w:rsid w:val="00B83951"/>
    <w:rsid w:val="00B83FD8"/>
    <w:rsid w:val="00B84D94"/>
    <w:rsid w:val="00B859CB"/>
    <w:rsid w:val="00B86AAC"/>
    <w:rsid w:val="00B86D83"/>
    <w:rsid w:val="00B87162"/>
    <w:rsid w:val="00B87D09"/>
    <w:rsid w:val="00B9055D"/>
    <w:rsid w:val="00B91105"/>
    <w:rsid w:val="00B91D72"/>
    <w:rsid w:val="00B91EC3"/>
    <w:rsid w:val="00B92683"/>
    <w:rsid w:val="00B92B93"/>
    <w:rsid w:val="00B92C2B"/>
    <w:rsid w:val="00B93053"/>
    <w:rsid w:val="00B93103"/>
    <w:rsid w:val="00B93695"/>
    <w:rsid w:val="00B937BB"/>
    <w:rsid w:val="00B93EAE"/>
    <w:rsid w:val="00B94B07"/>
    <w:rsid w:val="00B9502A"/>
    <w:rsid w:val="00B964E4"/>
    <w:rsid w:val="00B964FC"/>
    <w:rsid w:val="00B96B4A"/>
    <w:rsid w:val="00B978F1"/>
    <w:rsid w:val="00B97DD7"/>
    <w:rsid w:val="00BA054F"/>
    <w:rsid w:val="00BA0982"/>
    <w:rsid w:val="00BA098C"/>
    <w:rsid w:val="00BA2844"/>
    <w:rsid w:val="00BA2861"/>
    <w:rsid w:val="00BA2C8F"/>
    <w:rsid w:val="00BA32D6"/>
    <w:rsid w:val="00BA34D4"/>
    <w:rsid w:val="00BA3747"/>
    <w:rsid w:val="00BA4677"/>
    <w:rsid w:val="00BA6AF5"/>
    <w:rsid w:val="00BA6F26"/>
    <w:rsid w:val="00BA7189"/>
    <w:rsid w:val="00BA721A"/>
    <w:rsid w:val="00BB0AAE"/>
    <w:rsid w:val="00BB0B46"/>
    <w:rsid w:val="00BB0F3B"/>
    <w:rsid w:val="00BB1C98"/>
    <w:rsid w:val="00BB241D"/>
    <w:rsid w:val="00BB2CC8"/>
    <w:rsid w:val="00BB3C71"/>
    <w:rsid w:val="00BB44D6"/>
    <w:rsid w:val="00BB465C"/>
    <w:rsid w:val="00BB46D9"/>
    <w:rsid w:val="00BB5BD0"/>
    <w:rsid w:val="00BB6CB4"/>
    <w:rsid w:val="00BB7FA3"/>
    <w:rsid w:val="00BC0716"/>
    <w:rsid w:val="00BC079C"/>
    <w:rsid w:val="00BC0C96"/>
    <w:rsid w:val="00BC1B5A"/>
    <w:rsid w:val="00BC243F"/>
    <w:rsid w:val="00BC2B64"/>
    <w:rsid w:val="00BC465D"/>
    <w:rsid w:val="00BC51B7"/>
    <w:rsid w:val="00BC55EA"/>
    <w:rsid w:val="00BC5B1D"/>
    <w:rsid w:val="00BC6257"/>
    <w:rsid w:val="00BC6CB1"/>
    <w:rsid w:val="00BD1CEC"/>
    <w:rsid w:val="00BD3FEA"/>
    <w:rsid w:val="00BD420A"/>
    <w:rsid w:val="00BD45A3"/>
    <w:rsid w:val="00BD48F0"/>
    <w:rsid w:val="00BD659E"/>
    <w:rsid w:val="00BD73A7"/>
    <w:rsid w:val="00BD7AD0"/>
    <w:rsid w:val="00BD7D72"/>
    <w:rsid w:val="00BE0287"/>
    <w:rsid w:val="00BE0D44"/>
    <w:rsid w:val="00BE1733"/>
    <w:rsid w:val="00BE1C59"/>
    <w:rsid w:val="00BE24A2"/>
    <w:rsid w:val="00BE2813"/>
    <w:rsid w:val="00BE2E25"/>
    <w:rsid w:val="00BE37C5"/>
    <w:rsid w:val="00BE41FA"/>
    <w:rsid w:val="00BE508E"/>
    <w:rsid w:val="00BE60C5"/>
    <w:rsid w:val="00BE7786"/>
    <w:rsid w:val="00BE7BF9"/>
    <w:rsid w:val="00BE7CC7"/>
    <w:rsid w:val="00BF044D"/>
    <w:rsid w:val="00BF04C7"/>
    <w:rsid w:val="00BF0689"/>
    <w:rsid w:val="00BF0E70"/>
    <w:rsid w:val="00BF1747"/>
    <w:rsid w:val="00BF2240"/>
    <w:rsid w:val="00BF2905"/>
    <w:rsid w:val="00BF366D"/>
    <w:rsid w:val="00BF4165"/>
    <w:rsid w:val="00BF4CE3"/>
    <w:rsid w:val="00BF534E"/>
    <w:rsid w:val="00BF5656"/>
    <w:rsid w:val="00BF59C0"/>
    <w:rsid w:val="00BF5DAE"/>
    <w:rsid w:val="00BF6425"/>
    <w:rsid w:val="00BF6538"/>
    <w:rsid w:val="00BF6F60"/>
    <w:rsid w:val="00BF7B0A"/>
    <w:rsid w:val="00BF7B8F"/>
    <w:rsid w:val="00C01718"/>
    <w:rsid w:val="00C01AEA"/>
    <w:rsid w:val="00C022AD"/>
    <w:rsid w:val="00C02C14"/>
    <w:rsid w:val="00C02EB4"/>
    <w:rsid w:val="00C039B3"/>
    <w:rsid w:val="00C03F72"/>
    <w:rsid w:val="00C040EA"/>
    <w:rsid w:val="00C045EB"/>
    <w:rsid w:val="00C04A86"/>
    <w:rsid w:val="00C06227"/>
    <w:rsid w:val="00C06DC1"/>
    <w:rsid w:val="00C07C06"/>
    <w:rsid w:val="00C07F7B"/>
    <w:rsid w:val="00C10999"/>
    <w:rsid w:val="00C10E25"/>
    <w:rsid w:val="00C113F9"/>
    <w:rsid w:val="00C116D0"/>
    <w:rsid w:val="00C12133"/>
    <w:rsid w:val="00C123CC"/>
    <w:rsid w:val="00C1337D"/>
    <w:rsid w:val="00C13860"/>
    <w:rsid w:val="00C13F7E"/>
    <w:rsid w:val="00C14AFB"/>
    <w:rsid w:val="00C14DEC"/>
    <w:rsid w:val="00C151C2"/>
    <w:rsid w:val="00C15870"/>
    <w:rsid w:val="00C15C61"/>
    <w:rsid w:val="00C1682C"/>
    <w:rsid w:val="00C16D4D"/>
    <w:rsid w:val="00C16DB9"/>
    <w:rsid w:val="00C17353"/>
    <w:rsid w:val="00C20589"/>
    <w:rsid w:val="00C213DF"/>
    <w:rsid w:val="00C22822"/>
    <w:rsid w:val="00C2336B"/>
    <w:rsid w:val="00C23EAF"/>
    <w:rsid w:val="00C244B7"/>
    <w:rsid w:val="00C24714"/>
    <w:rsid w:val="00C24B38"/>
    <w:rsid w:val="00C24C94"/>
    <w:rsid w:val="00C2619D"/>
    <w:rsid w:val="00C26486"/>
    <w:rsid w:val="00C26D27"/>
    <w:rsid w:val="00C3073D"/>
    <w:rsid w:val="00C30B2B"/>
    <w:rsid w:val="00C313A4"/>
    <w:rsid w:val="00C313C1"/>
    <w:rsid w:val="00C317FF"/>
    <w:rsid w:val="00C31B23"/>
    <w:rsid w:val="00C31E95"/>
    <w:rsid w:val="00C32E7B"/>
    <w:rsid w:val="00C32FC5"/>
    <w:rsid w:val="00C337DA"/>
    <w:rsid w:val="00C33A17"/>
    <w:rsid w:val="00C33A6D"/>
    <w:rsid w:val="00C34701"/>
    <w:rsid w:val="00C347E1"/>
    <w:rsid w:val="00C360A6"/>
    <w:rsid w:val="00C4039E"/>
    <w:rsid w:val="00C404D9"/>
    <w:rsid w:val="00C40A11"/>
    <w:rsid w:val="00C40B8E"/>
    <w:rsid w:val="00C40E17"/>
    <w:rsid w:val="00C41CF6"/>
    <w:rsid w:val="00C41CFD"/>
    <w:rsid w:val="00C4261E"/>
    <w:rsid w:val="00C43370"/>
    <w:rsid w:val="00C43AB5"/>
    <w:rsid w:val="00C43D7E"/>
    <w:rsid w:val="00C43FA4"/>
    <w:rsid w:val="00C44371"/>
    <w:rsid w:val="00C4461C"/>
    <w:rsid w:val="00C45A79"/>
    <w:rsid w:val="00C460AD"/>
    <w:rsid w:val="00C46AAC"/>
    <w:rsid w:val="00C470C5"/>
    <w:rsid w:val="00C47ABC"/>
    <w:rsid w:val="00C47C91"/>
    <w:rsid w:val="00C500D8"/>
    <w:rsid w:val="00C507B2"/>
    <w:rsid w:val="00C5121D"/>
    <w:rsid w:val="00C51408"/>
    <w:rsid w:val="00C5153B"/>
    <w:rsid w:val="00C51804"/>
    <w:rsid w:val="00C52148"/>
    <w:rsid w:val="00C53190"/>
    <w:rsid w:val="00C537E1"/>
    <w:rsid w:val="00C54552"/>
    <w:rsid w:val="00C54C82"/>
    <w:rsid w:val="00C54FF1"/>
    <w:rsid w:val="00C555B4"/>
    <w:rsid w:val="00C55A90"/>
    <w:rsid w:val="00C55D17"/>
    <w:rsid w:val="00C55F04"/>
    <w:rsid w:val="00C579AF"/>
    <w:rsid w:val="00C6001B"/>
    <w:rsid w:val="00C607C0"/>
    <w:rsid w:val="00C6095B"/>
    <w:rsid w:val="00C61226"/>
    <w:rsid w:val="00C618E8"/>
    <w:rsid w:val="00C623E3"/>
    <w:rsid w:val="00C62BDE"/>
    <w:rsid w:val="00C63092"/>
    <w:rsid w:val="00C631EE"/>
    <w:rsid w:val="00C634ED"/>
    <w:rsid w:val="00C6402E"/>
    <w:rsid w:val="00C6434B"/>
    <w:rsid w:val="00C649FC"/>
    <w:rsid w:val="00C64F1D"/>
    <w:rsid w:val="00C65286"/>
    <w:rsid w:val="00C65504"/>
    <w:rsid w:val="00C65A9B"/>
    <w:rsid w:val="00C66461"/>
    <w:rsid w:val="00C664ED"/>
    <w:rsid w:val="00C66727"/>
    <w:rsid w:val="00C667A9"/>
    <w:rsid w:val="00C66867"/>
    <w:rsid w:val="00C66923"/>
    <w:rsid w:val="00C66C38"/>
    <w:rsid w:val="00C6711A"/>
    <w:rsid w:val="00C67756"/>
    <w:rsid w:val="00C677B0"/>
    <w:rsid w:val="00C67E16"/>
    <w:rsid w:val="00C712AA"/>
    <w:rsid w:val="00C71711"/>
    <w:rsid w:val="00C72D7D"/>
    <w:rsid w:val="00C738BC"/>
    <w:rsid w:val="00C7391A"/>
    <w:rsid w:val="00C73F2E"/>
    <w:rsid w:val="00C74D84"/>
    <w:rsid w:val="00C75431"/>
    <w:rsid w:val="00C764E3"/>
    <w:rsid w:val="00C76709"/>
    <w:rsid w:val="00C77067"/>
    <w:rsid w:val="00C7787D"/>
    <w:rsid w:val="00C77DBD"/>
    <w:rsid w:val="00C80365"/>
    <w:rsid w:val="00C8091E"/>
    <w:rsid w:val="00C8129E"/>
    <w:rsid w:val="00C81ADA"/>
    <w:rsid w:val="00C82A97"/>
    <w:rsid w:val="00C83068"/>
    <w:rsid w:val="00C838A0"/>
    <w:rsid w:val="00C83946"/>
    <w:rsid w:val="00C84F15"/>
    <w:rsid w:val="00C8540A"/>
    <w:rsid w:val="00C85EF8"/>
    <w:rsid w:val="00C86A8A"/>
    <w:rsid w:val="00C86DCC"/>
    <w:rsid w:val="00C86E46"/>
    <w:rsid w:val="00C876C6"/>
    <w:rsid w:val="00C8777D"/>
    <w:rsid w:val="00C87C37"/>
    <w:rsid w:val="00C90EAE"/>
    <w:rsid w:val="00C9143D"/>
    <w:rsid w:val="00C91C29"/>
    <w:rsid w:val="00C91FA5"/>
    <w:rsid w:val="00C93057"/>
    <w:rsid w:val="00C9389D"/>
    <w:rsid w:val="00C93CCD"/>
    <w:rsid w:val="00C94A51"/>
    <w:rsid w:val="00C94B2F"/>
    <w:rsid w:val="00C95C2F"/>
    <w:rsid w:val="00C95E1B"/>
    <w:rsid w:val="00C96160"/>
    <w:rsid w:val="00CA08FE"/>
    <w:rsid w:val="00CA1101"/>
    <w:rsid w:val="00CA1380"/>
    <w:rsid w:val="00CA26B9"/>
    <w:rsid w:val="00CA2704"/>
    <w:rsid w:val="00CA3085"/>
    <w:rsid w:val="00CA33B6"/>
    <w:rsid w:val="00CA3966"/>
    <w:rsid w:val="00CA3A30"/>
    <w:rsid w:val="00CA5283"/>
    <w:rsid w:val="00CA5AC6"/>
    <w:rsid w:val="00CA6099"/>
    <w:rsid w:val="00CA62C8"/>
    <w:rsid w:val="00CA67A1"/>
    <w:rsid w:val="00CA6A44"/>
    <w:rsid w:val="00CA6C39"/>
    <w:rsid w:val="00CA6C8F"/>
    <w:rsid w:val="00CB0B87"/>
    <w:rsid w:val="00CB0D2F"/>
    <w:rsid w:val="00CB1C22"/>
    <w:rsid w:val="00CB1FEB"/>
    <w:rsid w:val="00CB2730"/>
    <w:rsid w:val="00CB343F"/>
    <w:rsid w:val="00CB4F9A"/>
    <w:rsid w:val="00CB51D5"/>
    <w:rsid w:val="00CB53BC"/>
    <w:rsid w:val="00CB5937"/>
    <w:rsid w:val="00CB5EFC"/>
    <w:rsid w:val="00CB6A4F"/>
    <w:rsid w:val="00CC00A5"/>
    <w:rsid w:val="00CC024D"/>
    <w:rsid w:val="00CC1110"/>
    <w:rsid w:val="00CC1C74"/>
    <w:rsid w:val="00CC1F25"/>
    <w:rsid w:val="00CC270C"/>
    <w:rsid w:val="00CC3377"/>
    <w:rsid w:val="00CC3936"/>
    <w:rsid w:val="00CC469F"/>
    <w:rsid w:val="00CC4CF8"/>
    <w:rsid w:val="00CC50A4"/>
    <w:rsid w:val="00CC6789"/>
    <w:rsid w:val="00CC6865"/>
    <w:rsid w:val="00CC71E0"/>
    <w:rsid w:val="00CC79AD"/>
    <w:rsid w:val="00CC79D2"/>
    <w:rsid w:val="00CD10B5"/>
    <w:rsid w:val="00CD14FE"/>
    <w:rsid w:val="00CD1C1F"/>
    <w:rsid w:val="00CD24DD"/>
    <w:rsid w:val="00CD2578"/>
    <w:rsid w:val="00CD258E"/>
    <w:rsid w:val="00CD2D1A"/>
    <w:rsid w:val="00CD334D"/>
    <w:rsid w:val="00CD399D"/>
    <w:rsid w:val="00CD4046"/>
    <w:rsid w:val="00CD4150"/>
    <w:rsid w:val="00CD5539"/>
    <w:rsid w:val="00CD651C"/>
    <w:rsid w:val="00CD6565"/>
    <w:rsid w:val="00CD733A"/>
    <w:rsid w:val="00CE0190"/>
    <w:rsid w:val="00CE0C3A"/>
    <w:rsid w:val="00CE1A6E"/>
    <w:rsid w:val="00CE2C51"/>
    <w:rsid w:val="00CE3170"/>
    <w:rsid w:val="00CE3242"/>
    <w:rsid w:val="00CE3D03"/>
    <w:rsid w:val="00CE3D48"/>
    <w:rsid w:val="00CE44B7"/>
    <w:rsid w:val="00CE47C0"/>
    <w:rsid w:val="00CE4D9F"/>
    <w:rsid w:val="00CE4E04"/>
    <w:rsid w:val="00CE5289"/>
    <w:rsid w:val="00CE548E"/>
    <w:rsid w:val="00CE5B2C"/>
    <w:rsid w:val="00CE60ED"/>
    <w:rsid w:val="00CE7417"/>
    <w:rsid w:val="00CE7467"/>
    <w:rsid w:val="00CE748F"/>
    <w:rsid w:val="00CE750F"/>
    <w:rsid w:val="00CE7D0C"/>
    <w:rsid w:val="00CE7EFB"/>
    <w:rsid w:val="00CF1D2A"/>
    <w:rsid w:val="00CF24D3"/>
    <w:rsid w:val="00CF24ED"/>
    <w:rsid w:val="00CF256E"/>
    <w:rsid w:val="00CF2844"/>
    <w:rsid w:val="00CF4479"/>
    <w:rsid w:val="00CF462E"/>
    <w:rsid w:val="00CF526C"/>
    <w:rsid w:val="00CF564C"/>
    <w:rsid w:val="00CF5BDB"/>
    <w:rsid w:val="00CF5E1E"/>
    <w:rsid w:val="00CF6CB0"/>
    <w:rsid w:val="00CF6CB4"/>
    <w:rsid w:val="00CF6DD8"/>
    <w:rsid w:val="00CF6ECD"/>
    <w:rsid w:val="00D000A5"/>
    <w:rsid w:val="00D0051F"/>
    <w:rsid w:val="00D0054C"/>
    <w:rsid w:val="00D00972"/>
    <w:rsid w:val="00D00B7B"/>
    <w:rsid w:val="00D01B2A"/>
    <w:rsid w:val="00D028C9"/>
    <w:rsid w:val="00D035D6"/>
    <w:rsid w:val="00D038C8"/>
    <w:rsid w:val="00D0409D"/>
    <w:rsid w:val="00D04901"/>
    <w:rsid w:val="00D04B6C"/>
    <w:rsid w:val="00D05B15"/>
    <w:rsid w:val="00D06240"/>
    <w:rsid w:val="00D064EC"/>
    <w:rsid w:val="00D066B9"/>
    <w:rsid w:val="00D101F0"/>
    <w:rsid w:val="00D113F0"/>
    <w:rsid w:val="00D117AD"/>
    <w:rsid w:val="00D12FFE"/>
    <w:rsid w:val="00D131DB"/>
    <w:rsid w:val="00D1336F"/>
    <w:rsid w:val="00D14338"/>
    <w:rsid w:val="00D14D2D"/>
    <w:rsid w:val="00D15199"/>
    <w:rsid w:val="00D1618E"/>
    <w:rsid w:val="00D201D3"/>
    <w:rsid w:val="00D204E9"/>
    <w:rsid w:val="00D20DBD"/>
    <w:rsid w:val="00D20E0D"/>
    <w:rsid w:val="00D218CB"/>
    <w:rsid w:val="00D2236C"/>
    <w:rsid w:val="00D22E6C"/>
    <w:rsid w:val="00D24049"/>
    <w:rsid w:val="00D24786"/>
    <w:rsid w:val="00D24BD9"/>
    <w:rsid w:val="00D2510B"/>
    <w:rsid w:val="00D2613D"/>
    <w:rsid w:val="00D26581"/>
    <w:rsid w:val="00D270B2"/>
    <w:rsid w:val="00D27B59"/>
    <w:rsid w:val="00D311FF"/>
    <w:rsid w:val="00D31C27"/>
    <w:rsid w:val="00D3295C"/>
    <w:rsid w:val="00D32BCD"/>
    <w:rsid w:val="00D32F78"/>
    <w:rsid w:val="00D33C82"/>
    <w:rsid w:val="00D34172"/>
    <w:rsid w:val="00D342CD"/>
    <w:rsid w:val="00D34341"/>
    <w:rsid w:val="00D34548"/>
    <w:rsid w:val="00D358B8"/>
    <w:rsid w:val="00D358C2"/>
    <w:rsid w:val="00D35A78"/>
    <w:rsid w:val="00D36449"/>
    <w:rsid w:val="00D40195"/>
    <w:rsid w:val="00D401F5"/>
    <w:rsid w:val="00D40456"/>
    <w:rsid w:val="00D40498"/>
    <w:rsid w:val="00D407C5"/>
    <w:rsid w:val="00D40DCD"/>
    <w:rsid w:val="00D419D7"/>
    <w:rsid w:val="00D41AAA"/>
    <w:rsid w:val="00D42069"/>
    <w:rsid w:val="00D42335"/>
    <w:rsid w:val="00D42840"/>
    <w:rsid w:val="00D4331D"/>
    <w:rsid w:val="00D443C3"/>
    <w:rsid w:val="00D44696"/>
    <w:rsid w:val="00D44BE6"/>
    <w:rsid w:val="00D450C3"/>
    <w:rsid w:val="00D454B8"/>
    <w:rsid w:val="00D45F46"/>
    <w:rsid w:val="00D469C1"/>
    <w:rsid w:val="00D47112"/>
    <w:rsid w:val="00D472C0"/>
    <w:rsid w:val="00D5052C"/>
    <w:rsid w:val="00D50911"/>
    <w:rsid w:val="00D51012"/>
    <w:rsid w:val="00D51661"/>
    <w:rsid w:val="00D517DF"/>
    <w:rsid w:val="00D517E2"/>
    <w:rsid w:val="00D51E5C"/>
    <w:rsid w:val="00D5211A"/>
    <w:rsid w:val="00D528F3"/>
    <w:rsid w:val="00D529FE"/>
    <w:rsid w:val="00D554F0"/>
    <w:rsid w:val="00D554F1"/>
    <w:rsid w:val="00D56380"/>
    <w:rsid w:val="00D563F2"/>
    <w:rsid w:val="00D56407"/>
    <w:rsid w:val="00D56542"/>
    <w:rsid w:val="00D56612"/>
    <w:rsid w:val="00D56946"/>
    <w:rsid w:val="00D569F4"/>
    <w:rsid w:val="00D57EE2"/>
    <w:rsid w:val="00D60881"/>
    <w:rsid w:val="00D60B04"/>
    <w:rsid w:val="00D60F8B"/>
    <w:rsid w:val="00D61363"/>
    <w:rsid w:val="00D62ADD"/>
    <w:rsid w:val="00D634EB"/>
    <w:rsid w:val="00D63D6E"/>
    <w:rsid w:val="00D64C73"/>
    <w:rsid w:val="00D650FB"/>
    <w:rsid w:val="00D6545C"/>
    <w:rsid w:val="00D65A2B"/>
    <w:rsid w:val="00D65B8B"/>
    <w:rsid w:val="00D6608A"/>
    <w:rsid w:val="00D660A7"/>
    <w:rsid w:val="00D662E8"/>
    <w:rsid w:val="00D66AEC"/>
    <w:rsid w:val="00D67511"/>
    <w:rsid w:val="00D67608"/>
    <w:rsid w:val="00D6783F"/>
    <w:rsid w:val="00D6795B"/>
    <w:rsid w:val="00D7000B"/>
    <w:rsid w:val="00D70DB4"/>
    <w:rsid w:val="00D7100A"/>
    <w:rsid w:val="00D71ED7"/>
    <w:rsid w:val="00D72BE8"/>
    <w:rsid w:val="00D73534"/>
    <w:rsid w:val="00D73E2D"/>
    <w:rsid w:val="00D74BF7"/>
    <w:rsid w:val="00D74D06"/>
    <w:rsid w:val="00D74FF9"/>
    <w:rsid w:val="00D75404"/>
    <w:rsid w:val="00D7636C"/>
    <w:rsid w:val="00D805E7"/>
    <w:rsid w:val="00D8071F"/>
    <w:rsid w:val="00D80DA4"/>
    <w:rsid w:val="00D81A50"/>
    <w:rsid w:val="00D81A73"/>
    <w:rsid w:val="00D81FB4"/>
    <w:rsid w:val="00D82FB1"/>
    <w:rsid w:val="00D832B1"/>
    <w:rsid w:val="00D83494"/>
    <w:rsid w:val="00D83780"/>
    <w:rsid w:val="00D83AF4"/>
    <w:rsid w:val="00D84B02"/>
    <w:rsid w:val="00D851BF"/>
    <w:rsid w:val="00D8541D"/>
    <w:rsid w:val="00D85B2E"/>
    <w:rsid w:val="00D85E73"/>
    <w:rsid w:val="00D860CE"/>
    <w:rsid w:val="00D8620F"/>
    <w:rsid w:val="00D8698A"/>
    <w:rsid w:val="00D86C26"/>
    <w:rsid w:val="00D873DE"/>
    <w:rsid w:val="00D87448"/>
    <w:rsid w:val="00D87816"/>
    <w:rsid w:val="00D87DDB"/>
    <w:rsid w:val="00D9047E"/>
    <w:rsid w:val="00D90D1E"/>
    <w:rsid w:val="00D9123C"/>
    <w:rsid w:val="00D91317"/>
    <w:rsid w:val="00D9198D"/>
    <w:rsid w:val="00D91AA1"/>
    <w:rsid w:val="00D91C1B"/>
    <w:rsid w:val="00D925A1"/>
    <w:rsid w:val="00D926A6"/>
    <w:rsid w:val="00D9374D"/>
    <w:rsid w:val="00D93B19"/>
    <w:rsid w:val="00D93DC2"/>
    <w:rsid w:val="00D956F2"/>
    <w:rsid w:val="00D959B8"/>
    <w:rsid w:val="00D96150"/>
    <w:rsid w:val="00D96723"/>
    <w:rsid w:val="00D96BBE"/>
    <w:rsid w:val="00D97197"/>
    <w:rsid w:val="00D97385"/>
    <w:rsid w:val="00D97A11"/>
    <w:rsid w:val="00D97DB6"/>
    <w:rsid w:val="00DA0EF2"/>
    <w:rsid w:val="00DA2415"/>
    <w:rsid w:val="00DA31EF"/>
    <w:rsid w:val="00DA4D32"/>
    <w:rsid w:val="00DA5AF2"/>
    <w:rsid w:val="00DA5E7D"/>
    <w:rsid w:val="00DB06E8"/>
    <w:rsid w:val="00DB1474"/>
    <w:rsid w:val="00DB3D07"/>
    <w:rsid w:val="00DB47A4"/>
    <w:rsid w:val="00DB4C9F"/>
    <w:rsid w:val="00DB5720"/>
    <w:rsid w:val="00DB573B"/>
    <w:rsid w:val="00DB678A"/>
    <w:rsid w:val="00DB7FB7"/>
    <w:rsid w:val="00DC05E1"/>
    <w:rsid w:val="00DC0AF9"/>
    <w:rsid w:val="00DC0C24"/>
    <w:rsid w:val="00DC16E5"/>
    <w:rsid w:val="00DC198D"/>
    <w:rsid w:val="00DC24E8"/>
    <w:rsid w:val="00DC2641"/>
    <w:rsid w:val="00DC353A"/>
    <w:rsid w:val="00DC370D"/>
    <w:rsid w:val="00DC430A"/>
    <w:rsid w:val="00DC4BE0"/>
    <w:rsid w:val="00DC554D"/>
    <w:rsid w:val="00DC5E54"/>
    <w:rsid w:val="00DC6EC5"/>
    <w:rsid w:val="00DC7A01"/>
    <w:rsid w:val="00DC7E18"/>
    <w:rsid w:val="00DD0508"/>
    <w:rsid w:val="00DD0AA2"/>
    <w:rsid w:val="00DD1B0E"/>
    <w:rsid w:val="00DD1BD2"/>
    <w:rsid w:val="00DD243F"/>
    <w:rsid w:val="00DD2A0E"/>
    <w:rsid w:val="00DD343D"/>
    <w:rsid w:val="00DD41EA"/>
    <w:rsid w:val="00DD4AF8"/>
    <w:rsid w:val="00DD7368"/>
    <w:rsid w:val="00DD7546"/>
    <w:rsid w:val="00DD78F0"/>
    <w:rsid w:val="00DD795D"/>
    <w:rsid w:val="00DD7BD7"/>
    <w:rsid w:val="00DE01A7"/>
    <w:rsid w:val="00DE02D9"/>
    <w:rsid w:val="00DE08B6"/>
    <w:rsid w:val="00DE1389"/>
    <w:rsid w:val="00DE1FAA"/>
    <w:rsid w:val="00DE2B80"/>
    <w:rsid w:val="00DE3273"/>
    <w:rsid w:val="00DE32F7"/>
    <w:rsid w:val="00DE3BAA"/>
    <w:rsid w:val="00DE3F20"/>
    <w:rsid w:val="00DE5318"/>
    <w:rsid w:val="00DE6568"/>
    <w:rsid w:val="00DE680A"/>
    <w:rsid w:val="00DE6873"/>
    <w:rsid w:val="00DE75CA"/>
    <w:rsid w:val="00DE78EF"/>
    <w:rsid w:val="00DF013C"/>
    <w:rsid w:val="00DF0728"/>
    <w:rsid w:val="00DF076C"/>
    <w:rsid w:val="00DF0AC4"/>
    <w:rsid w:val="00DF152B"/>
    <w:rsid w:val="00DF1545"/>
    <w:rsid w:val="00DF2038"/>
    <w:rsid w:val="00DF2148"/>
    <w:rsid w:val="00DF29C1"/>
    <w:rsid w:val="00DF2E2B"/>
    <w:rsid w:val="00DF35E9"/>
    <w:rsid w:val="00DF4C1F"/>
    <w:rsid w:val="00DF4D47"/>
    <w:rsid w:val="00DF55AB"/>
    <w:rsid w:val="00DF5B4F"/>
    <w:rsid w:val="00DF5EE8"/>
    <w:rsid w:val="00DF6316"/>
    <w:rsid w:val="00DF7713"/>
    <w:rsid w:val="00E0169A"/>
    <w:rsid w:val="00E01BF6"/>
    <w:rsid w:val="00E02163"/>
    <w:rsid w:val="00E02FE1"/>
    <w:rsid w:val="00E0386C"/>
    <w:rsid w:val="00E03AC0"/>
    <w:rsid w:val="00E041A5"/>
    <w:rsid w:val="00E041D2"/>
    <w:rsid w:val="00E04A93"/>
    <w:rsid w:val="00E04B00"/>
    <w:rsid w:val="00E04E37"/>
    <w:rsid w:val="00E05572"/>
    <w:rsid w:val="00E060D6"/>
    <w:rsid w:val="00E0739F"/>
    <w:rsid w:val="00E1034A"/>
    <w:rsid w:val="00E1041C"/>
    <w:rsid w:val="00E1185C"/>
    <w:rsid w:val="00E1186A"/>
    <w:rsid w:val="00E119D9"/>
    <w:rsid w:val="00E1204A"/>
    <w:rsid w:val="00E12DD6"/>
    <w:rsid w:val="00E13959"/>
    <w:rsid w:val="00E14122"/>
    <w:rsid w:val="00E14814"/>
    <w:rsid w:val="00E14EB3"/>
    <w:rsid w:val="00E1594F"/>
    <w:rsid w:val="00E163D8"/>
    <w:rsid w:val="00E1664F"/>
    <w:rsid w:val="00E16BDE"/>
    <w:rsid w:val="00E16D59"/>
    <w:rsid w:val="00E179F3"/>
    <w:rsid w:val="00E205FB"/>
    <w:rsid w:val="00E20ADC"/>
    <w:rsid w:val="00E21996"/>
    <w:rsid w:val="00E21CB6"/>
    <w:rsid w:val="00E225D0"/>
    <w:rsid w:val="00E226FB"/>
    <w:rsid w:val="00E22AB9"/>
    <w:rsid w:val="00E238FE"/>
    <w:rsid w:val="00E251D5"/>
    <w:rsid w:val="00E25356"/>
    <w:rsid w:val="00E25B4A"/>
    <w:rsid w:val="00E261C9"/>
    <w:rsid w:val="00E267A5"/>
    <w:rsid w:val="00E26BCC"/>
    <w:rsid w:val="00E26F57"/>
    <w:rsid w:val="00E271BF"/>
    <w:rsid w:val="00E278D4"/>
    <w:rsid w:val="00E279B8"/>
    <w:rsid w:val="00E30EFC"/>
    <w:rsid w:val="00E31167"/>
    <w:rsid w:val="00E3234B"/>
    <w:rsid w:val="00E3290C"/>
    <w:rsid w:val="00E3302A"/>
    <w:rsid w:val="00E33349"/>
    <w:rsid w:val="00E3336D"/>
    <w:rsid w:val="00E34192"/>
    <w:rsid w:val="00E34A12"/>
    <w:rsid w:val="00E359B2"/>
    <w:rsid w:val="00E360FE"/>
    <w:rsid w:val="00E367C0"/>
    <w:rsid w:val="00E36FDE"/>
    <w:rsid w:val="00E370B6"/>
    <w:rsid w:val="00E3746C"/>
    <w:rsid w:val="00E37B5E"/>
    <w:rsid w:val="00E41359"/>
    <w:rsid w:val="00E416D1"/>
    <w:rsid w:val="00E41D57"/>
    <w:rsid w:val="00E43E71"/>
    <w:rsid w:val="00E45F2F"/>
    <w:rsid w:val="00E460AE"/>
    <w:rsid w:val="00E5057B"/>
    <w:rsid w:val="00E50CBA"/>
    <w:rsid w:val="00E5166A"/>
    <w:rsid w:val="00E51923"/>
    <w:rsid w:val="00E519D7"/>
    <w:rsid w:val="00E5207B"/>
    <w:rsid w:val="00E5232E"/>
    <w:rsid w:val="00E52406"/>
    <w:rsid w:val="00E527FD"/>
    <w:rsid w:val="00E52DFA"/>
    <w:rsid w:val="00E5488D"/>
    <w:rsid w:val="00E56A57"/>
    <w:rsid w:val="00E56D49"/>
    <w:rsid w:val="00E5765A"/>
    <w:rsid w:val="00E57C78"/>
    <w:rsid w:val="00E60536"/>
    <w:rsid w:val="00E61E46"/>
    <w:rsid w:val="00E6244E"/>
    <w:rsid w:val="00E631E1"/>
    <w:rsid w:val="00E633F4"/>
    <w:rsid w:val="00E6364F"/>
    <w:rsid w:val="00E63C98"/>
    <w:rsid w:val="00E6494A"/>
    <w:rsid w:val="00E649B6"/>
    <w:rsid w:val="00E65441"/>
    <w:rsid w:val="00E661D5"/>
    <w:rsid w:val="00E665A1"/>
    <w:rsid w:val="00E66D3D"/>
    <w:rsid w:val="00E67FA3"/>
    <w:rsid w:val="00E70861"/>
    <w:rsid w:val="00E709F8"/>
    <w:rsid w:val="00E70A4D"/>
    <w:rsid w:val="00E71542"/>
    <w:rsid w:val="00E71B31"/>
    <w:rsid w:val="00E71DBB"/>
    <w:rsid w:val="00E723D1"/>
    <w:rsid w:val="00E72B9E"/>
    <w:rsid w:val="00E730D8"/>
    <w:rsid w:val="00E731CD"/>
    <w:rsid w:val="00E73E3E"/>
    <w:rsid w:val="00E7446D"/>
    <w:rsid w:val="00E74487"/>
    <w:rsid w:val="00E746C8"/>
    <w:rsid w:val="00E76A62"/>
    <w:rsid w:val="00E76B95"/>
    <w:rsid w:val="00E7737F"/>
    <w:rsid w:val="00E7755C"/>
    <w:rsid w:val="00E775D0"/>
    <w:rsid w:val="00E801CF"/>
    <w:rsid w:val="00E818CB"/>
    <w:rsid w:val="00E825BC"/>
    <w:rsid w:val="00E827B0"/>
    <w:rsid w:val="00E8365B"/>
    <w:rsid w:val="00E83924"/>
    <w:rsid w:val="00E83AE5"/>
    <w:rsid w:val="00E84DBA"/>
    <w:rsid w:val="00E85E50"/>
    <w:rsid w:val="00E86621"/>
    <w:rsid w:val="00E8670C"/>
    <w:rsid w:val="00E86906"/>
    <w:rsid w:val="00E86F22"/>
    <w:rsid w:val="00E873F2"/>
    <w:rsid w:val="00E8763B"/>
    <w:rsid w:val="00E879CA"/>
    <w:rsid w:val="00E87B2B"/>
    <w:rsid w:val="00E87F08"/>
    <w:rsid w:val="00E9012F"/>
    <w:rsid w:val="00E90885"/>
    <w:rsid w:val="00E91B6A"/>
    <w:rsid w:val="00E920C2"/>
    <w:rsid w:val="00E9230B"/>
    <w:rsid w:val="00E92B1B"/>
    <w:rsid w:val="00E930FF"/>
    <w:rsid w:val="00E934FA"/>
    <w:rsid w:val="00E93FEF"/>
    <w:rsid w:val="00E9444D"/>
    <w:rsid w:val="00E95A80"/>
    <w:rsid w:val="00E960D3"/>
    <w:rsid w:val="00E97595"/>
    <w:rsid w:val="00E976B0"/>
    <w:rsid w:val="00EA0A35"/>
    <w:rsid w:val="00EA0FB4"/>
    <w:rsid w:val="00EA2815"/>
    <w:rsid w:val="00EA2E4B"/>
    <w:rsid w:val="00EA30EE"/>
    <w:rsid w:val="00EA4389"/>
    <w:rsid w:val="00EA4509"/>
    <w:rsid w:val="00EA67EB"/>
    <w:rsid w:val="00EB14CD"/>
    <w:rsid w:val="00EB16E2"/>
    <w:rsid w:val="00EB17E7"/>
    <w:rsid w:val="00EB1C7E"/>
    <w:rsid w:val="00EB23D7"/>
    <w:rsid w:val="00EB25B5"/>
    <w:rsid w:val="00EB334D"/>
    <w:rsid w:val="00EB365D"/>
    <w:rsid w:val="00EB382D"/>
    <w:rsid w:val="00EB3B94"/>
    <w:rsid w:val="00EB3C25"/>
    <w:rsid w:val="00EB44CC"/>
    <w:rsid w:val="00EB515A"/>
    <w:rsid w:val="00EB5454"/>
    <w:rsid w:val="00EB54EA"/>
    <w:rsid w:val="00EB5D02"/>
    <w:rsid w:val="00EB6187"/>
    <w:rsid w:val="00EB6630"/>
    <w:rsid w:val="00EB710B"/>
    <w:rsid w:val="00EB7127"/>
    <w:rsid w:val="00EB7439"/>
    <w:rsid w:val="00EB77BD"/>
    <w:rsid w:val="00EB7AFB"/>
    <w:rsid w:val="00EC0358"/>
    <w:rsid w:val="00EC054E"/>
    <w:rsid w:val="00EC0A04"/>
    <w:rsid w:val="00EC0B9A"/>
    <w:rsid w:val="00EC0C2E"/>
    <w:rsid w:val="00EC0EFC"/>
    <w:rsid w:val="00EC1775"/>
    <w:rsid w:val="00EC2209"/>
    <w:rsid w:val="00EC559A"/>
    <w:rsid w:val="00EC5836"/>
    <w:rsid w:val="00EC5C6A"/>
    <w:rsid w:val="00EC65A2"/>
    <w:rsid w:val="00EC667C"/>
    <w:rsid w:val="00EC6FE4"/>
    <w:rsid w:val="00EC74F7"/>
    <w:rsid w:val="00EC7C97"/>
    <w:rsid w:val="00EC7D5D"/>
    <w:rsid w:val="00EC7E38"/>
    <w:rsid w:val="00ED177F"/>
    <w:rsid w:val="00ED186C"/>
    <w:rsid w:val="00ED2B7D"/>
    <w:rsid w:val="00ED341C"/>
    <w:rsid w:val="00ED3E28"/>
    <w:rsid w:val="00ED4251"/>
    <w:rsid w:val="00ED44E5"/>
    <w:rsid w:val="00ED5C17"/>
    <w:rsid w:val="00ED652D"/>
    <w:rsid w:val="00ED667A"/>
    <w:rsid w:val="00ED67E0"/>
    <w:rsid w:val="00ED6F0C"/>
    <w:rsid w:val="00EE0935"/>
    <w:rsid w:val="00EE0EE1"/>
    <w:rsid w:val="00EE10D8"/>
    <w:rsid w:val="00EE2520"/>
    <w:rsid w:val="00EE3138"/>
    <w:rsid w:val="00EE39D6"/>
    <w:rsid w:val="00EE3D33"/>
    <w:rsid w:val="00EE3EA7"/>
    <w:rsid w:val="00EE46C0"/>
    <w:rsid w:val="00EE497E"/>
    <w:rsid w:val="00EE6419"/>
    <w:rsid w:val="00EE6F55"/>
    <w:rsid w:val="00EE760D"/>
    <w:rsid w:val="00EE763D"/>
    <w:rsid w:val="00EE78C0"/>
    <w:rsid w:val="00EF0195"/>
    <w:rsid w:val="00EF1F0F"/>
    <w:rsid w:val="00EF2260"/>
    <w:rsid w:val="00EF28DB"/>
    <w:rsid w:val="00EF3F88"/>
    <w:rsid w:val="00EF45BF"/>
    <w:rsid w:val="00EF4C2F"/>
    <w:rsid w:val="00EF4F1C"/>
    <w:rsid w:val="00EF5C83"/>
    <w:rsid w:val="00EF63D6"/>
    <w:rsid w:val="00EF67E0"/>
    <w:rsid w:val="00EF6F81"/>
    <w:rsid w:val="00EF783B"/>
    <w:rsid w:val="00EF7965"/>
    <w:rsid w:val="00EF7B54"/>
    <w:rsid w:val="00F00D55"/>
    <w:rsid w:val="00F00EC8"/>
    <w:rsid w:val="00F01096"/>
    <w:rsid w:val="00F016CD"/>
    <w:rsid w:val="00F01BDD"/>
    <w:rsid w:val="00F022A4"/>
    <w:rsid w:val="00F02BBD"/>
    <w:rsid w:val="00F033DB"/>
    <w:rsid w:val="00F03ED4"/>
    <w:rsid w:val="00F04876"/>
    <w:rsid w:val="00F04E91"/>
    <w:rsid w:val="00F05436"/>
    <w:rsid w:val="00F06860"/>
    <w:rsid w:val="00F06BB5"/>
    <w:rsid w:val="00F076A6"/>
    <w:rsid w:val="00F076D3"/>
    <w:rsid w:val="00F07875"/>
    <w:rsid w:val="00F07939"/>
    <w:rsid w:val="00F1029A"/>
    <w:rsid w:val="00F105C0"/>
    <w:rsid w:val="00F10FAA"/>
    <w:rsid w:val="00F1154C"/>
    <w:rsid w:val="00F12203"/>
    <w:rsid w:val="00F12986"/>
    <w:rsid w:val="00F12AD0"/>
    <w:rsid w:val="00F12F0A"/>
    <w:rsid w:val="00F13B5B"/>
    <w:rsid w:val="00F14048"/>
    <w:rsid w:val="00F14A0E"/>
    <w:rsid w:val="00F14D36"/>
    <w:rsid w:val="00F152C5"/>
    <w:rsid w:val="00F15415"/>
    <w:rsid w:val="00F165DD"/>
    <w:rsid w:val="00F17275"/>
    <w:rsid w:val="00F17D0C"/>
    <w:rsid w:val="00F17D17"/>
    <w:rsid w:val="00F17E6D"/>
    <w:rsid w:val="00F20D9C"/>
    <w:rsid w:val="00F21F05"/>
    <w:rsid w:val="00F21F2A"/>
    <w:rsid w:val="00F222CD"/>
    <w:rsid w:val="00F22724"/>
    <w:rsid w:val="00F228AD"/>
    <w:rsid w:val="00F231DF"/>
    <w:rsid w:val="00F26044"/>
    <w:rsid w:val="00F264AC"/>
    <w:rsid w:val="00F264EA"/>
    <w:rsid w:val="00F27217"/>
    <w:rsid w:val="00F2731A"/>
    <w:rsid w:val="00F27CA1"/>
    <w:rsid w:val="00F30333"/>
    <w:rsid w:val="00F305D0"/>
    <w:rsid w:val="00F31EB7"/>
    <w:rsid w:val="00F33212"/>
    <w:rsid w:val="00F33465"/>
    <w:rsid w:val="00F33652"/>
    <w:rsid w:val="00F34123"/>
    <w:rsid w:val="00F342F4"/>
    <w:rsid w:val="00F34318"/>
    <w:rsid w:val="00F34424"/>
    <w:rsid w:val="00F35638"/>
    <w:rsid w:val="00F35895"/>
    <w:rsid w:val="00F362DF"/>
    <w:rsid w:val="00F367B9"/>
    <w:rsid w:val="00F402BF"/>
    <w:rsid w:val="00F41A8D"/>
    <w:rsid w:val="00F41B83"/>
    <w:rsid w:val="00F434E1"/>
    <w:rsid w:val="00F439E0"/>
    <w:rsid w:val="00F43EBC"/>
    <w:rsid w:val="00F4607F"/>
    <w:rsid w:val="00F46C9C"/>
    <w:rsid w:val="00F47514"/>
    <w:rsid w:val="00F47AFC"/>
    <w:rsid w:val="00F51A80"/>
    <w:rsid w:val="00F51C60"/>
    <w:rsid w:val="00F53755"/>
    <w:rsid w:val="00F53A88"/>
    <w:rsid w:val="00F546B0"/>
    <w:rsid w:val="00F54ABD"/>
    <w:rsid w:val="00F5501B"/>
    <w:rsid w:val="00F552C8"/>
    <w:rsid w:val="00F56079"/>
    <w:rsid w:val="00F568BB"/>
    <w:rsid w:val="00F5736D"/>
    <w:rsid w:val="00F57554"/>
    <w:rsid w:val="00F60729"/>
    <w:rsid w:val="00F61487"/>
    <w:rsid w:val="00F61555"/>
    <w:rsid w:val="00F616F9"/>
    <w:rsid w:val="00F62265"/>
    <w:rsid w:val="00F624D2"/>
    <w:rsid w:val="00F626B2"/>
    <w:rsid w:val="00F641D0"/>
    <w:rsid w:val="00F645A0"/>
    <w:rsid w:val="00F645C5"/>
    <w:rsid w:val="00F648FE"/>
    <w:rsid w:val="00F654D8"/>
    <w:rsid w:val="00F65F18"/>
    <w:rsid w:val="00F65FA6"/>
    <w:rsid w:val="00F66F49"/>
    <w:rsid w:val="00F6766F"/>
    <w:rsid w:val="00F67A19"/>
    <w:rsid w:val="00F701C7"/>
    <w:rsid w:val="00F70440"/>
    <w:rsid w:val="00F710B1"/>
    <w:rsid w:val="00F712F3"/>
    <w:rsid w:val="00F71618"/>
    <w:rsid w:val="00F7165C"/>
    <w:rsid w:val="00F71746"/>
    <w:rsid w:val="00F71D51"/>
    <w:rsid w:val="00F71E73"/>
    <w:rsid w:val="00F720FE"/>
    <w:rsid w:val="00F73296"/>
    <w:rsid w:val="00F734A7"/>
    <w:rsid w:val="00F7371C"/>
    <w:rsid w:val="00F7412C"/>
    <w:rsid w:val="00F75894"/>
    <w:rsid w:val="00F7599F"/>
    <w:rsid w:val="00F759EF"/>
    <w:rsid w:val="00F75AED"/>
    <w:rsid w:val="00F76165"/>
    <w:rsid w:val="00F76450"/>
    <w:rsid w:val="00F768D8"/>
    <w:rsid w:val="00F777B4"/>
    <w:rsid w:val="00F8032B"/>
    <w:rsid w:val="00F8046C"/>
    <w:rsid w:val="00F8047B"/>
    <w:rsid w:val="00F80AFA"/>
    <w:rsid w:val="00F82C44"/>
    <w:rsid w:val="00F84857"/>
    <w:rsid w:val="00F8485C"/>
    <w:rsid w:val="00F85409"/>
    <w:rsid w:val="00F858F2"/>
    <w:rsid w:val="00F8637D"/>
    <w:rsid w:val="00F865B1"/>
    <w:rsid w:val="00F867DC"/>
    <w:rsid w:val="00F86F67"/>
    <w:rsid w:val="00F873B1"/>
    <w:rsid w:val="00F87A2A"/>
    <w:rsid w:val="00F87BB0"/>
    <w:rsid w:val="00F9067B"/>
    <w:rsid w:val="00F90A74"/>
    <w:rsid w:val="00F90BD5"/>
    <w:rsid w:val="00F91E60"/>
    <w:rsid w:val="00F91E85"/>
    <w:rsid w:val="00F91F9B"/>
    <w:rsid w:val="00F938FE"/>
    <w:rsid w:val="00F9461F"/>
    <w:rsid w:val="00F94713"/>
    <w:rsid w:val="00F958F1"/>
    <w:rsid w:val="00F960C8"/>
    <w:rsid w:val="00F9720C"/>
    <w:rsid w:val="00F9726A"/>
    <w:rsid w:val="00F977AA"/>
    <w:rsid w:val="00F97C63"/>
    <w:rsid w:val="00F97F43"/>
    <w:rsid w:val="00FA09CF"/>
    <w:rsid w:val="00FA1169"/>
    <w:rsid w:val="00FA31AB"/>
    <w:rsid w:val="00FA33CA"/>
    <w:rsid w:val="00FA37CD"/>
    <w:rsid w:val="00FA4D08"/>
    <w:rsid w:val="00FA53A9"/>
    <w:rsid w:val="00FA5A48"/>
    <w:rsid w:val="00FA5A80"/>
    <w:rsid w:val="00FA5FBA"/>
    <w:rsid w:val="00FA6140"/>
    <w:rsid w:val="00FA6284"/>
    <w:rsid w:val="00FA62B6"/>
    <w:rsid w:val="00FA6745"/>
    <w:rsid w:val="00FA760E"/>
    <w:rsid w:val="00FB0228"/>
    <w:rsid w:val="00FB0361"/>
    <w:rsid w:val="00FB0EDE"/>
    <w:rsid w:val="00FB15E8"/>
    <w:rsid w:val="00FB2A5A"/>
    <w:rsid w:val="00FB45E7"/>
    <w:rsid w:val="00FB4F30"/>
    <w:rsid w:val="00FB4FE9"/>
    <w:rsid w:val="00FB5913"/>
    <w:rsid w:val="00FB5A35"/>
    <w:rsid w:val="00FB5CFF"/>
    <w:rsid w:val="00FB6196"/>
    <w:rsid w:val="00FB7BE5"/>
    <w:rsid w:val="00FC00A4"/>
    <w:rsid w:val="00FC0DEE"/>
    <w:rsid w:val="00FC2BC5"/>
    <w:rsid w:val="00FC33CF"/>
    <w:rsid w:val="00FC3A69"/>
    <w:rsid w:val="00FC484D"/>
    <w:rsid w:val="00FC535A"/>
    <w:rsid w:val="00FC5AA0"/>
    <w:rsid w:val="00FC5DF7"/>
    <w:rsid w:val="00FC663C"/>
    <w:rsid w:val="00FC7A4B"/>
    <w:rsid w:val="00FD0E29"/>
    <w:rsid w:val="00FD0F8B"/>
    <w:rsid w:val="00FD18A9"/>
    <w:rsid w:val="00FD18FB"/>
    <w:rsid w:val="00FD1B12"/>
    <w:rsid w:val="00FD1D21"/>
    <w:rsid w:val="00FD1FAA"/>
    <w:rsid w:val="00FD2679"/>
    <w:rsid w:val="00FD311A"/>
    <w:rsid w:val="00FD368E"/>
    <w:rsid w:val="00FD37C1"/>
    <w:rsid w:val="00FD3A87"/>
    <w:rsid w:val="00FD3C55"/>
    <w:rsid w:val="00FD461B"/>
    <w:rsid w:val="00FD4923"/>
    <w:rsid w:val="00FD4A50"/>
    <w:rsid w:val="00FD512B"/>
    <w:rsid w:val="00FD612E"/>
    <w:rsid w:val="00FD61B2"/>
    <w:rsid w:val="00FD61EB"/>
    <w:rsid w:val="00FD6FB9"/>
    <w:rsid w:val="00FD7271"/>
    <w:rsid w:val="00FD77F6"/>
    <w:rsid w:val="00FD7D76"/>
    <w:rsid w:val="00FE0047"/>
    <w:rsid w:val="00FE08E5"/>
    <w:rsid w:val="00FE16D5"/>
    <w:rsid w:val="00FE228C"/>
    <w:rsid w:val="00FE2684"/>
    <w:rsid w:val="00FE2B27"/>
    <w:rsid w:val="00FE2C71"/>
    <w:rsid w:val="00FE5CBB"/>
    <w:rsid w:val="00FE6DFE"/>
    <w:rsid w:val="00FF1605"/>
    <w:rsid w:val="00FF2676"/>
    <w:rsid w:val="00FF2E8B"/>
    <w:rsid w:val="00FF4AB9"/>
    <w:rsid w:val="00FF573B"/>
    <w:rsid w:val="00FF5D75"/>
    <w:rsid w:val="00FF61A8"/>
    <w:rsid w:val="00FF6D42"/>
    <w:rsid w:val="00FF7144"/>
    <w:rsid w:val="01E6D36C"/>
    <w:rsid w:val="0216AD96"/>
    <w:rsid w:val="0382A3CD"/>
    <w:rsid w:val="053E73BB"/>
    <w:rsid w:val="0555BA25"/>
    <w:rsid w:val="05E4DF90"/>
    <w:rsid w:val="082566E6"/>
    <w:rsid w:val="0B5EB35A"/>
    <w:rsid w:val="0BDC30C9"/>
    <w:rsid w:val="0D7F61D0"/>
    <w:rsid w:val="0DD1982A"/>
    <w:rsid w:val="0E00EA9B"/>
    <w:rsid w:val="0F258F4B"/>
    <w:rsid w:val="103B178D"/>
    <w:rsid w:val="12425E5F"/>
    <w:rsid w:val="13540D59"/>
    <w:rsid w:val="138D8513"/>
    <w:rsid w:val="16B5E33C"/>
    <w:rsid w:val="16ECC682"/>
    <w:rsid w:val="17B72260"/>
    <w:rsid w:val="17EFE58A"/>
    <w:rsid w:val="180B340E"/>
    <w:rsid w:val="1B2A321C"/>
    <w:rsid w:val="1B4A4725"/>
    <w:rsid w:val="1BB6F450"/>
    <w:rsid w:val="1EAEB6DB"/>
    <w:rsid w:val="205E60A6"/>
    <w:rsid w:val="21449BD5"/>
    <w:rsid w:val="22667675"/>
    <w:rsid w:val="22A68D06"/>
    <w:rsid w:val="238004E4"/>
    <w:rsid w:val="25CE3770"/>
    <w:rsid w:val="27012B71"/>
    <w:rsid w:val="27DF2391"/>
    <w:rsid w:val="28637E3E"/>
    <w:rsid w:val="299571FD"/>
    <w:rsid w:val="2B690899"/>
    <w:rsid w:val="2C8998E5"/>
    <w:rsid w:val="2E4036B6"/>
    <w:rsid w:val="2E4CC666"/>
    <w:rsid w:val="301C81AA"/>
    <w:rsid w:val="34A79747"/>
    <w:rsid w:val="35A93B12"/>
    <w:rsid w:val="36642AEF"/>
    <w:rsid w:val="380E6B32"/>
    <w:rsid w:val="3BB4F449"/>
    <w:rsid w:val="3BF76BB4"/>
    <w:rsid w:val="3C1FE97C"/>
    <w:rsid w:val="3CB9805C"/>
    <w:rsid w:val="3D55417B"/>
    <w:rsid w:val="3E355130"/>
    <w:rsid w:val="3FF1211E"/>
    <w:rsid w:val="406B959E"/>
    <w:rsid w:val="40C1C7EE"/>
    <w:rsid w:val="41064811"/>
    <w:rsid w:val="440EE207"/>
    <w:rsid w:val="449789C8"/>
    <w:rsid w:val="462DE786"/>
    <w:rsid w:val="46BB8B7B"/>
    <w:rsid w:val="4826551F"/>
    <w:rsid w:val="482CAE58"/>
    <w:rsid w:val="48320F33"/>
    <w:rsid w:val="4F7F454C"/>
    <w:rsid w:val="512F4D10"/>
    <w:rsid w:val="51A23571"/>
    <w:rsid w:val="51EA21B8"/>
    <w:rsid w:val="56022619"/>
    <w:rsid w:val="579479C2"/>
    <w:rsid w:val="585571C5"/>
    <w:rsid w:val="5AF41C6E"/>
    <w:rsid w:val="5E4AA709"/>
    <w:rsid w:val="6005860E"/>
    <w:rsid w:val="60F0AE35"/>
    <w:rsid w:val="61F10D81"/>
    <w:rsid w:val="6283D77B"/>
    <w:rsid w:val="6765A333"/>
    <w:rsid w:val="67978E4B"/>
    <w:rsid w:val="681E1628"/>
    <w:rsid w:val="687EAE7C"/>
    <w:rsid w:val="69BDDB45"/>
    <w:rsid w:val="6A386BA0"/>
    <w:rsid w:val="6CD09F41"/>
    <w:rsid w:val="7298BC9C"/>
    <w:rsid w:val="72A82725"/>
    <w:rsid w:val="74348CFD"/>
    <w:rsid w:val="7656A5D2"/>
    <w:rsid w:val="767FC506"/>
    <w:rsid w:val="78714F5D"/>
    <w:rsid w:val="78EC4101"/>
    <w:rsid w:val="794B56E0"/>
    <w:rsid w:val="7A0C4EE3"/>
    <w:rsid w:val="7BC5801E"/>
    <w:rsid w:val="7CEC0990"/>
    <w:rsid w:val="7E5EB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138"/>
    <o:shapelayout v:ext="edit">
      <o:idmap v:ext="edit" data="1"/>
    </o:shapelayout>
  </w:shapeDefaults>
  <w:decimalSymbol w:val="."/>
  <w:listSeparator w:val=","/>
  <w14:docId w14:val="0C6BEC1E"/>
  <w15:docId w15:val="{24D66AB6-ADF4-443F-87F4-056BB377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4AF"/>
    <w:rPr>
      <w:rFonts w:ascii="Calibri" w:eastAsiaTheme="minorHAnsi" w:hAnsi="Calibri" w:cstheme="minorBidi"/>
      <w:sz w:val="22"/>
      <w:szCs w:val="22"/>
    </w:rPr>
  </w:style>
  <w:style w:type="paragraph" w:styleId="Heading1">
    <w:name w:val="heading 1"/>
    <w:basedOn w:val="Normal"/>
    <w:next w:val="Normal"/>
    <w:link w:val="Heading1Char"/>
    <w:uiPriority w:val="9"/>
    <w:qFormat/>
    <w:rsid w:val="00126FE1"/>
    <w:pPr>
      <w:keepNext/>
      <w:keepLines/>
      <w:numPr>
        <w:numId w:val="19"/>
      </w:numPr>
      <w:spacing w:after="160"/>
      <w:ind w:left="0" w:firstLine="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0F369B"/>
    <w:pPr>
      <w:keepNext/>
      <w:keepLines/>
      <w:numPr>
        <w:ilvl w:val="1"/>
        <w:numId w:val="19"/>
      </w:numPr>
      <w:spacing w:after="1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0F369B"/>
    <w:pPr>
      <w:keepNext/>
      <w:keepLines/>
      <w:numPr>
        <w:ilvl w:val="2"/>
        <w:numId w:val="19"/>
      </w:numPr>
      <w:spacing w:after="120"/>
      <w:outlineLvl w:val="2"/>
    </w:pPr>
    <w:rPr>
      <w:rFonts w:eastAsiaTheme="majorEastAsia" w:cstheme="majorBidi"/>
      <w:b/>
      <w:bCs/>
      <w:snapToGrid w:val="0"/>
      <w:sz w:val="28"/>
    </w:rPr>
  </w:style>
  <w:style w:type="paragraph" w:styleId="Heading4">
    <w:name w:val="heading 4"/>
    <w:basedOn w:val="Normal"/>
    <w:next w:val="Normal"/>
    <w:link w:val="Heading4Char"/>
    <w:uiPriority w:val="9"/>
    <w:qFormat/>
    <w:rsid w:val="003C1BE9"/>
    <w:pPr>
      <w:keepNext/>
      <w:keepLines/>
      <w:numPr>
        <w:ilvl w:val="3"/>
        <w:numId w:val="19"/>
      </w:numPr>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3C1BE9"/>
    <w:pPr>
      <w:keepNext/>
      <w:keepLines/>
      <w:numPr>
        <w:ilvl w:val="4"/>
        <w:numId w:val="19"/>
      </w:numPr>
      <w:outlineLvl w:val="4"/>
    </w:pPr>
    <w:rPr>
      <w:rFonts w:eastAsiaTheme="majorEastAsia" w:cstheme="majorBidi"/>
      <w:b/>
    </w:rPr>
  </w:style>
  <w:style w:type="paragraph" w:styleId="Heading6">
    <w:name w:val="heading 6"/>
    <w:basedOn w:val="Normal"/>
    <w:next w:val="Normal"/>
    <w:link w:val="Heading6Char"/>
    <w:uiPriority w:val="9"/>
    <w:qFormat/>
    <w:rsid w:val="003C1BE9"/>
    <w:pPr>
      <w:keepNext/>
      <w:keepLines/>
      <w:numPr>
        <w:ilvl w:val="5"/>
        <w:numId w:val="19"/>
      </w:numPr>
      <w:outlineLvl w:val="5"/>
    </w:pPr>
    <w:rPr>
      <w:rFonts w:eastAsiaTheme="majorEastAsia" w:cstheme="majorBidi"/>
      <w:b/>
      <w:iCs/>
    </w:rPr>
  </w:style>
  <w:style w:type="paragraph" w:styleId="Heading7">
    <w:name w:val="heading 7"/>
    <w:basedOn w:val="Normal"/>
    <w:next w:val="Normal"/>
    <w:link w:val="Heading7Char"/>
    <w:uiPriority w:val="9"/>
    <w:qFormat/>
    <w:rsid w:val="003C1BE9"/>
    <w:pPr>
      <w:keepNext/>
      <w:keepLines/>
      <w:numPr>
        <w:ilvl w:val="6"/>
        <w:numId w:val="19"/>
      </w:numPr>
      <w:outlineLvl w:val="6"/>
    </w:pPr>
    <w:rPr>
      <w:rFonts w:eastAsiaTheme="majorEastAsia" w:cstheme="majorBidi"/>
      <w:b/>
      <w:iCs/>
    </w:rPr>
  </w:style>
  <w:style w:type="paragraph" w:styleId="Heading8">
    <w:name w:val="heading 8"/>
    <w:basedOn w:val="Normal"/>
    <w:next w:val="Normal"/>
    <w:link w:val="Heading8Char"/>
    <w:uiPriority w:val="9"/>
    <w:qFormat/>
    <w:rsid w:val="003C1BE9"/>
    <w:pPr>
      <w:keepNext/>
      <w:keepLines/>
      <w:numPr>
        <w:ilvl w:val="7"/>
        <w:numId w:val="19"/>
      </w:numPr>
      <w:outlineLvl w:val="7"/>
    </w:pPr>
    <w:rPr>
      <w:rFonts w:eastAsiaTheme="majorEastAsia" w:cstheme="majorBidi"/>
      <w:b/>
      <w:szCs w:val="20"/>
    </w:rPr>
  </w:style>
  <w:style w:type="paragraph" w:styleId="Heading9">
    <w:name w:val="heading 9"/>
    <w:basedOn w:val="Normal"/>
    <w:next w:val="Normal"/>
    <w:link w:val="Heading9Char"/>
    <w:uiPriority w:val="9"/>
    <w:unhideWhenUsed/>
    <w:rsid w:val="003C1BE9"/>
    <w:pPr>
      <w:keepNext/>
      <w:keepLines/>
      <w:numPr>
        <w:ilvl w:val="8"/>
        <w:numId w:val="19"/>
      </w:numPr>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6FE1"/>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locked/>
    <w:rsid w:val="000F369B"/>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locked/>
    <w:rsid w:val="000F369B"/>
    <w:rPr>
      <w:rFonts w:ascii="Calibri" w:eastAsiaTheme="majorEastAsia" w:hAnsi="Calibri" w:cstheme="majorBidi"/>
      <w:b/>
      <w:bCs/>
      <w:snapToGrid w:val="0"/>
      <w:sz w:val="28"/>
      <w:szCs w:val="22"/>
    </w:rPr>
  </w:style>
  <w:style w:type="character" w:customStyle="1" w:styleId="Heading4Char">
    <w:name w:val="Heading 4 Char"/>
    <w:basedOn w:val="DefaultParagraphFont"/>
    <w:link w:val="Heading4"/>
    <w:uiPriority w:val="9"/>
    <w:locked/>
    <w:rsid w:val="003C1BE9"/>
    <w:rPr>
      <w:rFonts w:ascii="Calibri" w:eastAsiaTheme="majorEastAsia" w:hAnsi="Calibri" w:cstheme="majorBidi"/>
      <w:b/>
      <w:bCs/>
      <w:i/>
      <w:iCs/>
      <w:sz w:val="26"/>
      <w:szCs w:val="22"/>
    </w:rPr>
  </w:style>
  <w:style w:type="character" w:customStyle="1" w:styleId="Heading5Char">
    <w:name w:val="Heading 5 Char"/>
    <w:basedOn w:val="DefaultParagraphFont"/>
    <w:link w:val="Heading5"/>
    <w:uiPriority w:val="9"/>
    <w:locked/>
    <w:rsid w:val="003C1BE9"/>
    <w:rPr>
      <w:rFonts w:ascii="Calibri" w:eastAsiaTheme="majorEastAsia" w:hAnsi="Calibri" w:cstheme="majorBidi"/>
      <w:b/>
      <w:sz w:val="22"/>
      <w:szCs w:val="22"/>
    </w:rPr>
  </w:style>
  <w:style w:type="character" w:customStyle="1" w:styleId="Heading6Char">
    <w:name w:val="Heading 6 Char"/>
    <w:basedOn w:val="DefaultParagraphFont"/>
    <w:link w:val="Heading6"/>
    <w:uiPriority w:val="9"/>
    <w:locked/>
    <w:rsid w:val="003C1BE9"/>
    <w:rPr>
      <w:rFonts w:ascii="Calibri" w:eastAsiaTheme="majorEastAsia" w:hAnsi="Calibri" w:cstheme="majorBidi"/>
      <w:b/>
      <w:iCs/>
      <w:sz w:val="22"/>
      <w:szCs w:val="22"/>
    </w:rPr>
  </w:style>
  <w:style w:type="character" w:customStyle="1" w:styleId="Heading7Char">
    <w:name w:val="Heading 7 Char"/>
    <w:basedOn w:val="DefaultParagraphFont"/>
    <w:link w:val="Heading7"/>
    <w:uiPriority w:val="9"/>
    <w:locked/>
    <w:rsid w:val="003C1BE9"/>
    <w:rPr>
      <w:rFonts w:ascii="Calibri" w:eastAsiaTheme="majorEastAsia" w:hAnsi="Calibri" w:cstheme="majorBidi"/>
      <w:b/>
      <w:iCs/>
      <w:sz w:val="22"/>
      <w:szCs w:val="22"/>
    </w:rPr>
  </w:style>
  <w:style w:type="character" w:customStyle="1" w:styleId="Heading8Char">
    <w:name w:val="Heading 8 Char"/>
    <w:basedOn w:val="DefaultParagraphFont"/>
    <w:link w:val="Heading8"/>
    <w:uiPriority w:val="9"/>
    <w:locked/>
    <w:rsid w:val="003C1BE9"/>
    <w:rPr>
      <w:rFonts w:ascii="Calibri" w:eastAsiaTheme="majorEastAsia" w:hAnsi="Calibri" w:cstheme="majorBidi"/>
      <w:b/>
      <w:sz w:val="22"/>
    </w:rPr>
  </w:style>
  <w:style w:type="character" w:customStyle="1" w:styleId="Heading9Char">
    <w:name w:val="Heading 9 Char"/>
    <w:basedOn w:val="DefaultParagraphFont"/>
    <w:link w:val="Heading9"/>
    <w:uiPriority w:val="9"/>
    <w:locked/>
    <w:rsid w:val="003C1BE9"/>
    <w:rPr>
      <w:rFonts w:ascii="Calibri" w:eastAsiaTheme="majorEastAsia" w:hAnsi="Calibri" w:cstheme="majorBidi"/>
      <w:b/>
      <w:iCs/>
      <w:sz w:val="22"/>
    </w:rPr>
  </w:style>
  <w:style w:type="paragraph" w:styleId="Footer">
    <w:name w:val="footer"/>
    <w:basedOn w:val="Normal"/>
    <w:link w:val="FooterChar"/>
    <w:uiPriority w:val="99"/>
    <w:rsid w:val="003C1BE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3C1BE9"/>
    <w:rPr>
      <w:rFonts w:ascii="Calibri" w:eastAsiaTheme="minorHAnsi" w:hAnsi="Calibri" w:cstheme="minorBidi"/>
      <w:szCs w:val="22"/>
    </w:rPr>
  </w:style>
  <w:style w:type="paragraph" w:styleId="Header">
    <w:name w:val="header"/>
    <w:basedOn w:val="Normal"/>
    <w:link w:val="HeaderChar"/>
    <w:rsid w:val="003C1BE9"/>
    <w:pPr>
      <w:pBdr>
        <w:bottom w:val="single" w:sz="4" w:space="1" w:color="auto"/>
      </w:pBdr>
      <w:jc w:val="right"/>
    </w:pPr>
    <w:rPr>
      <w:sz w:val="20"/>
    </w:rPr>
  </w:style>
  <w:style w:type="character" w:customStyle="1" w:styleId="HeaderChar">
    <w:name w:val="Header Char"/>
    <w:basedOn w:val="DefaultParagraphFont"/>
    <w:link w:val="Header"/>
    <w:rsid w:val="003C1BE9"/>
    <w:rPr>
      <w:rFonts w:ascii="Calibri" w:eastAsiaTheme="minorHAnsi" w:hAnsi="Calibri" w:cstheme="minorBidi"/>
      <w:szCs w:val="22"/>
    </w:rPr>
  </w:style>
  <w:style w:type="paragraph" w:styleId="BalloonText">
    <w:name w:val="Balloon Text"/>
    <w:basedOn w:val="Normal"/>
    <w:link w:val="BalloonTextChar"/>
    <w:rsid w:val="004B76D6"/>
    <w:rPr>
      <w:rFonts w:ascii="Tahoma" w:hAnsi="Tahoma" w:cs="Tahoma"/>
      <w:sz w:val="16"/>
      <w:szCs w:val="16"/>
    </w:rPr>
  </w:style>
  <w:style w:type="character" w:customStyle="1" w:styleId="BalloonTextChar">
    <w:name w:val="Balloon Text Char"/>
    <w:basedOn w:val="DefaultParagraphFont"/>
    <w:link w:val="BalloonText"/>
    <w:rsid w:val="004B76D6"/>
    <w:rPr>
      <w:rFonts w:ascii="Tahoma" w:eastAsiaTheme="minorHAnsi" w:hAnsi="Tahoma" w:cs="Tahoma"/>
      <w:sz w:val="16"/>
      <w:szCs w:val="16"/>
    </w:rPr>
  </w:style>
  <w:style w:type="character" w:styleId="Hyperlink">
    <w:name w:val="Hyperlink"/>
    <w:basedOn w:val="DefaultParagraphFont"/>
    <w:uiPriority w:val="99"/>
    <w:rsid w:val="00A7753B"/>
    <w:rPr>
      <w:color w:val="0000FF" w:themeColor="hyperlink"/>
      <w:u w:val="single"/>
    </w:rPr>
  </w:style>
  <w:style w:type="table" w:styleId="TableGrid">
    <w:name w:val="Table Grid"/>
    <w:basedOn w:val="TableNormal"/>
    <w:uiPriority w:val="59"/>
    <w:rsid w:val="00424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C73"/>
    <w:pPr>
      <w:ind w:left="720"/>
      <w:contextualSpacing/>
    </w:pPr>
  </w:style>
  <w:style w:type="paragraph" w:styleId="TOC1">
    <w:name w:val="toc 1"/>
    <w:basedOn w:val="Normal"/>
    <w:next w:val="Normal"/>
    <w:autoRedefine/>
    <w:uiPriority w:val="39"/>
    <w:rsid w:val="00D00B7B"/>
    <w:pPr>
      <w:tabs>
        <w:tab w:val="left" w:pos="660"/>
        <w:tab w:val="right" w:leader="dot" w:pos="9350"/>
      </w:tabs>
      <w:spacing w:after="100"/>
    </w:pPr>
  </w:style>
  <w:style w:type="paragraph" w:styleId="TOC2">
    <w:name w:val="toc 2"/>
    <w:basedOn w:val="Normal"/>
    <w:next w:val="Normal"/>
    <w:autoRedefine/>
    <w:uiPriority w:val="39"/>
    <w:rsid w:val="00477CDC"/>
    <w:pPr>
      <w:tabs>
        <w:tab w:val="right" w:leader="dot" w:pos="9350"/>
      </w:tabs>
      <w:spacing w:after="100"/>
    </w:pPr>
  </w:style>
  <w:style w:type="paragraph" w:styleId="Revision">
    <w:name w:val="Revision"/>
    <w:hidden/>
    <w:uiPriority w:val="99"/>
    <w:semiHidden/>
    <w:rsid w:val="00E04A93"/>
    <w:rPr>
      <w:rFonts w:ascii="Calibri" w:eastAsiaTheme="minorHAnsi" w:hAnsi="Calibri" w:cstheme="minorBidi"/>
      <w:sz w:val="22"/>
      <w:szCs w:val="22"/>
    </w:rPr>
  </w:style>
  <w:style w:type="character" w:styleId="FollowedHyperlink">
    <w:name w:val="FollowedHyperlink"/>
    <w:basedOn w:val="DefaultParagraphFont"/>
    <w:uiPriority w:val="99"/>
    <w:unhideWhenUsed/>
    <w:rsid w:val="00905FD4"/>
    <w:rPr>
      <w:color w:val="800080"/>
      <w:u w:val="single"/>
    </w:rPr>
  </w:style>
  <w:style w:type="paragraph" w:styleId="TableofFigures">
    <w:name w:val="table of figures"/>
    <w:basedOn w:val="Normal"/>
    <w:next w:val="Normal"/>
    <w:uiPriority w:val="99"/>
    <w:rsid w:val="00E226FB"/>
  </w:style>
  <w:style w:type="paragraph" w:customStyle="1" w:styleId="font5">
    <w:name w:val="font5"/>
    <w:basedOn w:val="Normal"/>
    <w:rsid w:val="001057D7"/>
    <w:pPr>
      <w:spacing w:before="100" w:beforeAutospacing="1" w:after="100" w:afterAutospacing="1"/>
    </w:pPr>
    <w:rPr>
      <w:rFonts w:ascii="Times New Roman" w:eastAsia="Times New Roman" w:hAnsi="Times New Roman" w:cs="Times New Roman"/>
      <w:b/>
      <w:bCs/>
      <w:i/>
      <w:iCs/>
      <w:color w:val="000080"/>
      <w:sz w:val="20"/>
      <w:szCs w:val="20"/>
    </w:rPr>
  </w:style>
  <w:style w:type="paragraph" w:customStyle="1" w:styleId="font6">
    <w:name w:val="font6"/>
    <w:basedOn w:val="Normal"/>
    <w:rsid w:val="001057D7"/>
    <w:pPr>
      <w:spacing w:before="100" w:beforeAutospacing="1" w:after="100" w:afterAutospacing="1"/>
    </w:pPr>
    <w:rPr>
      <w:rFonts w:ascii="Arial" w:eastAsia="Times New Roman" w:hAnsi="Arial" w:cs="Arial"/>
      <w:sz w:val="16"/>
      <w:szCs w:val="16"/>
    </w:rPr>
  </w:style>
  <w:style w:type="paragraph" w:customStyle="1" w:styleId="font7">
    <w:name w:val="font7"/>
    <w:basedOn w:val="Normal"/>
    <w:rsid w:val="001057D7"/>
    <w:pPr>
      <w:spacing w:before="100" w:beforeAutospacing="1" w:after="100" w:afterAutospacing="1"/>
    </w:pPr>
    <w:rPr>
      <w:rFonts w:ascii="Times New Roman" w:eastAsia="Times New Roman" w:hAnsi="Times New Roman" w:cs="Times New Roman"/>
      <w:b/>
      <w:bCs/>
      <w:i/>
      <w:iCs/>
      <w:color w:val="000080"/>
    </w:rPr>
  </w:style>
  <w:style w:type="paragraph" w:customStyle="1" w:styleId="xl65">
    <w:name w:val="xl65"/>
    <w:basedOn w:val="Normal"/>
    <w:rsid w:val="00F8047B"/>
    <w:pP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F8047B"/>
    <w:pPr>
      <w:spacing w:before="100" w:beforeAutospacing="1" w:after="100" w:afterAutospacing="1"/>
      <w:jc w:val="right"/>
    </w:pPr>
    <w:rPr>
      <w:rFonts w:ascii="Times New Roman" w:eastAsia="Times New Roman" w:hAnsi="Times New Roman" w:cs="Times New Roman"/>
      <w:sz w:val="16"/>
      <w:szCs w:val="16"/>
    </w:rPr>
  </w:style>
  <w:style w:type="paragraph" w:customStyle="1" w:styleId="xl67">
    <w:name w:val="xl67"/>
    <w:basedOn w:val="Normal"/>
    <w:rsid w:val="00F8047B"/>
    <w:pPr>
      <w:spacing w:before="100" w:beforeAutospacing="1" w:after="100" w:afterAutospacing="1"/>
      <w:jc w:val="center"/>
    </w:pPr>
    <w:rPr>
      <w:rFonts w:ascii="Times New Roman" w:eastAsia="Times New Roman" w:hAnsi="Times New Roman" w:cs="Times New Roman"/>
      <w:sz w:val="16"/>
      <w:szCs w:val="16"/>
    </w:rPr>
  </w:style>
  <w:style w:type="paragraph" w:customStyle="1" w:styleId="xl68">
    <w:name w:val="xl68"/>
    <w:basedOn w:val="Normal"/>
    <w:rsid w:val="00F8047B"/>
    <w:pPr>
      <w:spacing w:before="100" w:beforeAutospacing="1" w:after="100" w:afterAutospacing="1"/>
    </w:pPr>
    <w:rPr>
      <w:rFonts w:ascii="Times New Roman" w:eastAsia="Times New Roman" w:hAnsi="Times New Roman" w:cs="Times New Roman"/>
      <w:sz w:val="16"/>
      <w:szCs w:val="16"/>
    </w:rPr>
  </w:style>
  <w:style w:type="paragraph" w:customStyle="1" w:styleId="xl69">
    <w:name w:val="xl69"/>
    <w:basedOn w:val="Normal"/>
    <w:rsid w:val="00F8047B"/>
    <w:pPr>
      <w:spacing w:before="100" w:beforeAutospacing="1" w:after="100" w:afterAutospacing="1"/>
      <w:jc w:val="right"/>
    </w:pPr>
    <w:rPr>
      <w:rFonts w:ascii="Times New Roman" w:eastAsia="Times New Roman" w:hAnsi="Times New Roman" w:cs="Times New Roman"/>
      <w:sz w:val="16"/>
      <w:szCs w:val="16"/>
    </w:rPr>
  </w:style>
  <w:style w:type="character" w:styleId="CommentReference">
    <w:name w:val="annotation reference"/>
    <w:basedOn w:val="DefaultParagraphFont"/>
    <w:rsid w:val="00F06860"/>
    <w:rPr>
      <w:sz w:val="16"/>
      <w:szCs w:val="16"/>
    </w:rPr>
  </w:style>
  <w:style w:type="paragraph" w:styleId="CommentText">
    <w:name w:val="annotation text"/>
    <w:basedOn w:val="Normal"/>
    <w:link w:val="CommentTextChar"/>
    <w:rsid w:val="00F06860"/>
    <w:rPr>
      <w:sz w:val="20"/>
      <w:szCs w:val="20"/>
    </w:rPr>
  </w:style>
  <w:style w:type="character" w:customStyle="1" w:styleId="CommentTextChar">
    <w:name w:val="Comment Text Char"/>
    <w:basedOn w:val="DefaultParagraphFont"/>
    <w:link w:val="CommentText"/>
    <w:rsid w:val="00F06860"/>
    <w:rPr>
      <w:rFonts w:ascii="Calibri" w:eastAsiaTheme="minorHAnsi" w:hAnsi="Calibri" w:cstheme="minorBidi"/>
    </w:rPr>
  </w:style>
  <w:style w:type="paragraph" w:styleId="CommentSubject">
    <w:name w:val="annotation subject"/>
    <w:basedOn w:val="CommentText"/>
    <w:next w:val="CommentText"/>
    <w:link w:val="CommentSubjectChar"/>
    <w:rsid w:val="00F06860"/>
    <w:rPr>
      <w:b/>
      <w:bCs/>
    </w:rPr>
  </w:style>
  <w:style w:type="character" w:customStyle="1" w:styleId="CommentSubjectChar">
    <w:name w:val="Comment Subject Char"/>
    <w:basedOn w:val="CommentTextChar"/>
    <w:link w:val="CommentSubject"/>
    <w:rsid w:val="00F06860"/>
    <w:rPr>
      <w:rFonts w:ascii="Calibri" w:eastAsiaTheme="minorHAnsi" w:hAnsi="Calibri" w:cstheme="minorBidi"/>
      <w:b/>
      <w:bCs/>
    </w:rPr>
  </w:style>
  <w:style w:type="numbering" w:customStyle="1" w:styleId="NoList1">
    <w:name w:val="No List1"/>
    <w:next w:val="NoList"/>
    <w:uiPriority w:val="99"/>
    <w:semiHidden/>
    <w:unhideWhenUsed/>
    <w:rsid w:val="00721051"/>
  </w:style>
  <w:style w:type="numbering" w:customStyle="1" w:styleId="NoList2">
    <w:name w:val="No List2"/>
    <w:next w:val="NoList"/>
    <w:uiPriority w:val="99"/>
    <w:semiHidden/>
    <w:unhideWhenUsed/>
    <w:rsid w:val="00072A68"/>
  </w:style>
  <w:style w:type="table" w:customStyle="1" w:styleId="TableGrid1">
    <w:name w:val="Table Grid1"/>
    <w:basedOn w:val="TableNormal"/>
    <w:next w:val="TableGrid"/>
    <w:uiPriority w:val="59"/>
    <w:rsid w:val="00072A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2A68"/>
    <w:pPr>
      <w:widowControl w:val="0"/>
    </w:pPr>
    <w:rPr>
      <w:rFonts w:asciiTheme="minorHAnsi" w:hAnsiTheme="minorHAnsi"/>
    </w:rPr>
  </w:style>
  <w:style w:type="paragraph" w:styleId="TOC3">
    <w:name w:val="toc 3"/>
    <w:basedOn w:val="Normal"/>
    <w:next w:val="Normal"/>
    <w:autoRedefine/>
    <w:uiPriority w:val="39"/>
    <w:unhideWhenUsed/>
    <w:rsid w:val="0056589A"/>
    <w:pPr>
      <w:spacing w:after="100"/>
      <w:ind w:left="440"/>
    </w:pPr>
  </w:style>
  <w:style w:type="paragraph" w:styleId="Title">
    <w:name w:val="Title"/>
    <w:basedOn w:val="Heading1"/>
    <w:next w:val="Normal"/>
    <w:link w:val="TitleChar"/>
    <w:qFormat/>
    <w:rsid w:val="00CD4046"/>
    <w:pPr>
      <w:numPr>
        <w:numId w:val="0"/>
      </w:numPr>
      <w:jc w:val="center"/>
    </w:pPr>
  </w:style>
  <w:style w:type="character" w:customStyle="1" w:styleId="TitleChar">
    <w:name w:val="Title Char"/>
    <w:basedOn w:val="DefaultParagraphFont"/>
    <w:link w:val="Title"/>
    <w:rsid w:val="00CD4046"/>
    <w:rPr>
      <w:rFonts w:ascii="Calibri" w:eastAsiaTheme="majorEastAsia" w:hAnsi="Calibri" w:cstheme="majorBidi"/>
      <w:b/>
      <w:bCs/>
      <w:smallCaps/>
      <w:sz w:val="36"/>
      <w:szCs w:val="28"/>
    </w:rPr>
  </w:style>
  <w:style w:type="paragraph" w:styleId="Caption">
    <w:name w:val="caption"/>
    <w:basedOn w:val="Normal"/>
    <w:next w:val="Normal"/>
    <w:unhideWhenUsed/>
    <w:qFormat/>
    <w:rsid w:val="00AB6785"/>
    <w:pPr>
      <w:spacing w:after="60"/>
      <w:jc w:val="center"/>
    </w:pPr>
    <w:rPr>
      <w:b/>
      <w:bCs/>
      <w:color w:val="000000" w:themeColor="text1"/>
    </w:rPr>
  </w:style>
  <w:style w:type="paragraph" w:customStyle="1" w:styleId="Heading1a">
    <w:name w:val="Heading 1a"/>
    <w:basedOn w:val="Normal"/>
    <w:next w:val="Normal"/>
    <w:link w:val="Heading1aChar"/>
    <w:qFormat/>
    <w:rsid w:val="00B07CD9"/>
    <w:pPr>
      <w:spacing w:after="120"/>
      <w:jc w:val="center"/>
    </w:pPr>
    <w:rPr>
      <w:b/>
      <w:bCs/>
      <w:sz w:val="34"/>
      <w:szCs w:val="34"/>
    </w:rPr>
  </w:style>
  <w:style w:type="character" w:customStyle="1" w:styleId="Heading1aChar">
    <w:name w:val="Heading 1a Char"/>
    <w:basedOn w:val="DefaultParagraphFont"/>
    <w:link w:val="Heading1a"/>
    <w:rsid w:val="00B07CD9"/>
    <w:rPr>
      <w:rFonts w:ascii="Calibri" w:eastAsiaTheme="minorHAnsi" w:hAnsi="Calibri" w:cstheme="minorBidi"/>
      <w:b/>
      <w:bCs/>
      <w:sz w:val="34"/>
      <w:szCs w:val="34"/>
    </w:rPr>
  </w:style>
  <w:style w:type="paragraph" w:styleId="BodyText">
    <w:name w:val="Body Text"/>
    <w:basedOn w:val="Normal"/>
    <w:link w:val="BodyTextChar"/>
    <w:uiPriority w:val="1"/>
    <w:qFormat/>
    <w:rsid w:val="004B6BFE"/>
    <w:pPr>
      <w:widowControl w:val="0"/>
      <w:autoSpaceDE w:val="0"/>
      <w:autoSpaceDN w:val="0"/>
    </w:pPr>
    <w:rPr>
      <w:rFonts w:eastAsia="Calibri" w:cs="Calibri"/>
    </w:rPr>
  </w:style>
  <w:style w:type="character" w:customStyle="1" w:styleId="BodyTextChar">
    <w:name w:val="Body Text Char"/>
    <w:basedOn w:val="DefaultParagraphFont"/>
    <w:link w:val="BodyText"/>
    <w:uiPriority w:val="1"/>
    <w:rsid w:val="004B6BF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685">
      <w:bodyDiv w:val="1"/>
      <w:marLeft w:val="0"/>
      <w:marRight w:val="0"/>
      <w:marTop w:val="0"/>
      <w:marBottom w:val="0"/>
      <w:divBdr>
        <w:top w:val="none" w:sz="0" w:space="0" w:color="auto"/>
        <w:left w:val="none" w:sz="0" w:space="0" w:color="auto"/>
        <w:bottom w:val="none" w:sz="0" w:space="0" w:color="auto"/>
        <w:right w:val="none" w:sz="0" w:space="0" w:color="auto"/>
      </w:divBdr>
    </w:div>
    <w:div w:id="43919449">
      <w:bodyDiv w:val="1"/>
      <w:marLeft w:val="0"/>
      <w:marRight w:val="0"/>
      <w:marTop w:val="0"/>
      <w:marBottom w:val="0"/>
      <w:divBdr>
        <w:top w:val="none" w:sz="0" w:space="0" w:color="auto"/>
        <w:left w:val="none" w:sz="0" w:space="0" w:color="auto"/>
        <w:bottom w:val="none" w:sz="0" w:space="0" w:color="auto"/>
        <w:right w:val="none" w:sz="0" w:space="0" w:color="auto"/>
      </w:divBdr>
    </w:div>
    <w:div w:id="57755527">
      <w:bodyDiv w:val="1"/>
      <w:marLeft w:val="0"/>
      <w:marRight w:val="0"/>
      <w:marTop w:val="0"/>
      <w:marBottom w:val="0"/>
      <w:divBdr>
        <w:top w:val="none" w:sz="0" w:space="0" w:color="auto"/>
        <w:left w:val="none" w:sz="0" w:space="0" w:color="auto"/>
        <w:bottom w:val="none" w:sz="0" w:space="0" w:color="auto"/>
        <w:right w:val="none" w:sz="0" w:space="0" w:color="auto"/>
      </w:divBdr>
    </w:div>
    <w:div w:id="81723769">
      <w:bodyDiv w:val="1"/>
      <w:marLeft w:val="0"/>
      <w:marRight w:val="0"/>
      <w:marTop w:val="0"/>
      <w:marBottom w:val="0"/>
      <w:divBdr>
        <w:top w:val="none" w:sz="0" w:space="0" w:color="auto"/>
        <w:left w:val="none" w:sz="0" w:space="0" w:color="auto"/>
        <w:bottom w:val="none" w:sz="0" w:space="0" w:color="auto"/>
        <w:right w:val="none" w:sz="0" w:space="0" w:color="auto"/>
      </w:divBdr>
    </w:div>
    <w:div w:id="125392138">
      <w:bodyDiv w:val="1"/>
      <w:marLeft w:val="0"/>
      <w:marRight w:val="0"/>
      <w:marTop w:val="0"/>
      <w:marBottom w:val="0"/>
      <w:divBdr>
        <w:top w:val="none" w:sz="0" w:space="0" w:color="auto"/>
        <w:left w:val="none" w:sz="0" w:space="0" w:color="auto"/>
        <w:bottom w:val="none" w:sz="0" w:space="0" w:color="auto"/>
        <w:right w:val="none" w:sz="0" w:space="0" w:color="auto"/>
      </w:divBdr>
    </w:div>
    <w:div w:id="314385082">
      <w:bodyDiv w:val="1"/>
      <w:marLeft w:val="0"/>
      <w:marRight w:val="0"/>
      <w:marTop w:val="0"/>
      <w:marBottom w:val="0"/>
      <w:divBdr>
        <w:top w:val="none" w:sz="0" w:space="0" w:color="auto"/>
        <w:left w:val="none" w:sz="0" w:space="0" w:color="auto"/>
        <w:bottom w:val="none" w:sz="0" w:space="0" w:color="auto"/>
        <w:right w:val="none" w:sz="0" w:space="0" w:color="auto"/>
      </w:divBdr>
    </w:div>
    <w:div w:id="421952579">
      <w:bodyDiv w:val="1"/>
      <w:marLeft w:val="0"/>
      <w:marRight w:val="0"/>
      <w:marTop w:val="0"/>
      <w:marBottom w:val="0"/>
      <w:divBdr>
        <w:top w:val="none" w:sz="0" w:space="0" w:color="auto"/>
        <w:left w:val="none" w:sz="0" w:space="0" w:color="auto"/>
        <w:bottom w:val="none" w:sz="0" w:space="0" w:color="auto"/>
        <w:right w:val="none" w:sz="0" w:space="0" w:color="auto"/>
      </w:divBdr>
    </w:div>
    <w:div w:id="610016248">
      <w:bodyDiv w:val="1"/>
      <w:marLeft w:val="0"/>
      <w:marRight w:val="0"/>
      <w:marTop w:val="0"/>
      <w:marBottom w:val="0"/>
      <w:divBdr>
        <w:top w:val="none" w:sz="0" w:space="0" w:color="auto"/>
        <w:left w:val="none" w:sz="0" w:space="0" w:color="auto"/>
        <w:bottom w:val="none" w:sz="0" w:space="0" w:color="auto"/>
        <w:right w:val="none" w:sz="0" w:space="0" w:color="auto"/>
      </w:divBdr>
    </w:div>
    <w:div w:id="619460804">
      <w:bodyDiv w:val="1"/>
      <w:marLeft w:val="0"/>
      <w:marRight w:val="0"/>
      <w:marTop w:val="0"/>
      <w:marBottom w:val="0"/>
      <w:divBdr>
        <w:top w:val="none" w:sz="0" w:space="0" w:color="auto"/>
        <w:left w:val="none" w:sz="0" w:space="0" w:color="auto"/>
        <w:bottom w:val="none" w:sz="0" w:space="0" w:color="auto"/>
        <w:right w:val="none" w:sz="0" w:space="0" w:color="auto"/>
      </w:divBdr>
    </w:div>
    <w:div w:id="658386161">
      <w:bodyDiv w:val="1"/>
      <w:marLeft w:val="0"/>
      <w:marRight w:val="0"/>
      <w:marTop w:val="0"/>
      <w:marBottom w:val="0"/>
      <w:divBdr>
        <w:top w:val="none" w:sz="0" w:space="0" w:color="auto"/>
        <w:left w:val="none" w:sz="0" w:space="0" w:color="auto"/>
        <w:bottom w:val="none" w:sz="0" w:space="0" w:color="auto"/>
        <w:right w:val="none" w:sz="0" w:space="0" w:color="auto"/>
      </w:divBdr>
    </w:div>
    <w:div w:id="670184670">
      <w:bodyDiv w:val="1"/>
      <w:marLeft w:val="0"/>
      <w:marRight w:val="0"/>
      <w:marTop w:val="0"/>
      <w:marBottom w:val="0"/>
      <w:divBdr>
        <w:top w:val="none" w:sz="0" w:space="0" w:color="auto"/>
        <w:left w:val="none" w:sz="0" w:space="0" w:color="auto"/>
        <w:bottom w:val="none" w:sz="0" w:space="0" w:color="auto"/>
        <w:right w:val="none" w:sz="0" w:space="0" w:color="auto"/>
      </w:divBdr>
    </w:div>
    <w:div w:id="763496450">
      <w:bodyDiv w:val="1"/>
      <w:marLeft w:val="0"/>
      <w:marRight w:val="0"/>
      <w:marTop w:val="0"/>
      <w:marBottom w:val="0"/>
      <w:divBdr>
        <w:top w:val="none" w:sz="0" w:space="0" w:color="auto"/>
        <w:left w:val="none" w:sz="0" w:space="0" w:color="auto"/>
        <w:bottom w:val="none" w:sz="0" w:space="0" w:color="auto"/>
        <w:right w:val="none" w:sz="0" w:space="0" w:color="auto"/>
      </w:divBdr>
    </w:div>
    <w:div w:id="1036660143">
      <w:marLeft w:val="0"/>
      <w:marRight w:val="0"/>
      <w:marTop w:val="0"/>
      <w:marBottom w:val="0"/>
      <w:divBdr>
        <w:top w:val="none" w:sz="0" w:space="0" w:color="auto"/>
        <w:left w:val="none" w:sz="0" w:space="0" w:color="auto"/>
        <w:bottom w:val="none" w:sz="0" w:space="0" w:color="auto"/>
        <w:right w:val="none" w:sz="0" w:space="0" w:color="auto"/>
      </w:divBdr>
    </w:div>
    <w:div w:id="1036660144">
      <w:marLeft w:val="0"/>
      <w:marRight w:val="0"/>
      <w:marTop w:val="0"/>
      <w:marBottom w:val="0"/>
      <w:divBdr>
        <w:top w:val="none" w:sz="0" w:space="0" w:color="auto"/>
        <w:left w:val="none" w:sz="0" w:space="0" w:color="auto"/>
        <w:bottom w:val="none" w:sz="0" w:space="0" w:color="auto"/>
        <w:right w:val="none" w:sz="0" w:space="0" w:color="auto"/>
      </w:divBdr>
    </w:div>
    <w:div w:id="1036660145">
      <w:marLeft w:val="0"/>
      <w:marRight w:val="0"/>
      <w:marTop w:val="0"/>
      <w:marBottom w:val="0"/>
      <w:divBdr>
        <w:top w:val="none" w:sz="0" w:space="0" w:color="auto"/>
        <w:left w:val="none" w:sz="0" w:space="0" w:color="auto"/>
        <w:bottom w:val="none" w:sz="0" w:space="0" w:color="auto"/>
        <w:right w:val="none" w:sz="0" w:space="0" w:color="auto"/>
      </w:divBdr>
    </w:div>
    <w:div w:id="1036660146">
      <w:marLeft w:val="0"/>
      <w:marRight w:val="0"/>
      <w:marTop w:val="0"/>
      <w:marBottom w:val="0"/>
      <w:divBdr>
        <w:top w:val="none" w:sz="0" w:space="0" w:color="auto"/>
        <w:left w:val="none" w:sz="0" w:space="0" w:color="auto"/>
        <w:bottom w:val="none" w:sz="0" w:space="0" w:color="auto"/>
        <w:right w:val="none" w:sz="0" w:space="0" w:color="auto"/>
      </w:divBdr>
    </w:div>
    <w:div w:id="1036660147">
      <w:marLeft w:val="0"/>
      <w:marRight w:val="0"/>
      <w:marTop w:val="0"/>
      <w:marBottom w:val="0"/>
      <w:divBdr>
        <w:top w:val="none" w:sz="0" w:space="0" w:color="auto"/>
        <w:left w:val="none" w:sz="0" w:space="0" w:color="auto"/>
        <w:bottom w:val="none" w:sz="0" w:space="0" w:color="auto"/>
        <w:right w:val="none" w:sz="0" w:space="0" w:color="auto"/>
      </w:divBdr>
    </w:div>
    <w:div w:id="1036660148">
      <w:marLeft w:val="0"/>
      <w:marRight w:val="0"/>
      <w:marTop w:val="0"/>
      <w:marBottom w:val="0"/>
      <w:divBdr>
        <w:top w:val="none" w:sz="0" w:space="0" w:color="auto"/>
        <w:left w:val="none" w:sz="0" w:space="0" w:color="auto"/>
        <w:bottom w:val="none" w:sz="0" w:space="0" w:color="auto"/>
        <w:right w:val="none" w:sz="0" w:space="0" w:color="auto"/>
      </w:divBdr>
    </w:div>
    <w:div w:id="1050768799">
      <w:bodyDiv w:val="1"/>
      <w:marLeft w:val="0"/>
      <w:marRight w:val="0"/>
      <w:marTop w:val="0"/>
      <w:marBottom w:val="0"/>
      <w:divBdr>
        <w:top w:val="none" w:sz="0" w:space="0" w:color="auto"/>
        <w:left w:val="none" w:sz="0" w:space="0" w:color="auto"/>
        <w:bottom w:val="none" w:sz="0" w:space="0" w:color="auto"/>
        <w:right w:val="none" w:sz="0" w:space="0" w:color="auto"/>
      </w:divBdr>
    </w:div>
    <w:div w:id="1329406704">
      <w:bodyDiv w:val="1"/>
      <w:marLeft w:val="0"/>
      <w:marRight w:val="0"/>
      <w:marTop w:val="0"/>
      <w:marBottom w:val="0"/>
      <w:divBdr>
        <w:top w:val="none" w:sz="0" w:space="0" w:color="auto"/>
        <w:left w:val="none" w:sz="0" w:space="0" w:color="auto"/>
        <w:bottom w:val="none" w:sz="0" w:space="0" w:color="auto"/>
        <w:right w:val="none" w:sz="0" w:space="0" w:color="auto"/>
      </w:divBdr>
    </w:div>
    <w:div w:id="1329871164">
      <w:bodyDiv w:val="1"/>
      <w:marLeft w:val="0"/>
      <w:marRight w:val="0"/>
      <w:marTop w:val="0"/>
      <w:marBottom w:val="0"/>
      <w:divBdr>
        <w:top w:val="none" w:sz="0" w:space="0" w:color="auto"/>
        <w:left w:val="none" w:sz="0" w:space="0" w:color="auto"/>
        <w:bottom w:val="none" w:sz="0" w:space="0" w:color="auto"/>
        <w:right w:val="none" w:sz="0" w:space="0" w:color="auto"/>
      </w:divBdr>
    </w:div>
    <w:div w:id="1510754483">
      <w:bodyDiv w:val="1"/>
      <w:marLeft w:val="0"/>
      <w:marRight w:val="0"/>
      <w:marTop w:val="0"/>
      <w:marBottom w:val="0"/>
      <w:divBdr>
        <w:top w:val="none" w:sz="0" w:space="0" w:color="auto"/>
        <w:left w:val="none" w:sz="0" w:space="0" w:color="auto"/>
        <w:bottom w:val="none" w:sz="0" w:space="0" w:color="auto"/>
        <w:right w:val="none" w:sz="0" w:space="0" w:color="auto"/>
      </w:divBdr>
    </w:div>
    <w:div w:id="1545871769">
      <w:bodyDiv w:val="1"/>
      <w:marLeft w:val="0"/>
      <w:marRight w:val="0"/>
      <w:marTop w:val="0"/>
      <w:marBottom w:val="0"/>
      <w:divBdr>
        <w:top w:val="none" w:sz="0" w:space="0" w:color="auto"/>
        <w:left w:val="none" w:sz="0" w:space="0" w:color="auto"/>
        <w:bottom w:val="none" w:sz="0" w:space="0" w:color="auto"/>
        <w:right w:val="none" w:sz="0" w:space="0" w:color="auto"/>
      </w:divBdr>
    </w:div>
    <w:div w:id="1657414710">
      <w:bodyDiv w:val="1"/>
      <w:marLeft w:val="0"/>
      <w:marRight w:val="0"/>
      <w:marTop w:val="0"/>
      <w:marBottom w:val="0"/>
      <w:divBdr>
        <w:top w:val="none" w:sz="0" w:space="0" w:color="auto"/>
        <w:left w:val="none" w:sz="0" w:space="0" w:color="auto"/>
        <w:bottom w:val="none" w:sz="0" w:space="0" w:color="auto"/>
        <w:right w:val="none" w:sz="0" w:space="0" w:color="auto"/>
      </w:divBdr>
    </w:div>
    <w:div w:id="17883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image" Target="cid:image001.jpg@01DA26B5.DCBB4F10" TargetMode="External"/><Relationship Id="rId19" Type="http://schemas.openxmlformats.org/officeDocument/2006/relationships/header" Target="header5.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5.xml"/><Relationship Id="rId8" Type="http://schemas.openxmlformats.org/officeDocument/2006/relationships/hyperlink" Target="file:///\\deqppa001\PPA\TFA\DWSRF\IUP\sfy2016\www.deq.mt.gov"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E408-9CAA-438D-A83A-D5378C27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17</Pages>
  <Words>4420</Words>
  <Characters>25199</Characters>
  <Application>Microsoft Office Word</Application>
  <DocSecurity>8</DocSecurity>
  <Lines>209</Lines>
  <Paragraphs>59</Paragraphs>
  <ScaleCrop>false</ScaleCrop>
  <HeadingPairs>
    <vt:vector size="2" baseType="variant">
      <vt:variant>
        <vt:lpstr>Title</vt:lpstr>
      </vt:variant>
      <vt:variant>
        <vt:i4>1</vt:i4>
      </vt:variant>
    </vt:vector>
  </HeadingPairs>
  <TitlesOfParts>
    <vt:vector size="1" baseType="lpstr">
      <vt:lpstr>Drinking Water State Revolving Fund Intended Use Plan and Project Priority List State Fiscal Year 2015</vt:lpstr>
    </vt:vector>
  </TitlesOfParts>
  <Company>Montana Dept of Environmental Quality</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State Revolving Fund Intended Use Plan and Project Priority List State Fiscal Year 2015</dc:title>
  <dc:subject>Drinking Water State Revolving Fund Intended Use Plan and Project Priority List State Fiscal Year 2015</dc:subject>
  <dc:creator>DEQ</dc:creator>
  <cp:keywords>DWSRF, drinking water, SRF, state revolving fund, IUP, intended use plan, PPL, priority list, DEQ, Department of Environmental Quality, state fiscal year 2015, sfy15, 2014, MT, Montana, DNRC, Department of Natural Resources and Conservation</cp:keywords>
  <cp:lastModifiedBy>Gernand, Candice</cp:lastModifiedBy>
  <cp:revision>44</cp:revision>
  <cp:lastPrinted>2024-04-12T19:07:00Z</cp:lastPrinted>
  <dcterms:created xsi:type="dcterms:W3CDTF">2025-06-02T21:25:00Z</dcterms:created>
  <dcterms:modified xsi:type="dcterms:W3CDTF">2026-05-28T20:17:00Z</dcterms:modified>
</cp:coreProperties>
</file>